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92A1" w14:textId="03A61C86" w:rsidR="0065098A" w:rsidRPr="007050E4" w:rsidRDefault="0065098A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8080"/>
          <w:spacing w:val="40"/>
          <w:sz w:val="40"/>
        </w:rPr>
      </w:pPr>
    </w:p>
    <w:p w14:paraId="597EED9F" w14:textId="57A32AC8" w:rsidR="008665B2" w:rsidRPr="007050E4" w:rsidRDefault="00A10F74" w:rsidP="008665B2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noProof/>
          <w:color w:val="003366"/>
          <w:sz w:val="40"/>
        </w:rPr>
      </w:pPr>
      <w:r>
        <w:rPr>
          <w:rFonts w:ascii="Calibri" w:hAnsi="Calibri"/>
          <w:b/>
          <w:noProof/>
          <w:color w:val="003366"/>
          <w:sz w:val="40"/>
        </w:rPr>
        <w:drawing>
          <wp:anchor distT="0" distB="0" distL="114300" distR="114300" simplePos="0" relativeHeight="251659776" behindDoc="1" locked="0" layoutInCell="1" allowOverlap="1" wp14:anchorId="4B86B2AD" wp14:editId="623EE0CA">
            <wp:simplePos x="0" y="0"/>
            <wp:positionH relativeFrom="column">
              <wp:posOffset>31430</wp:posOffset>
            </wp:positionH>
            <wp:positionV relativeFrom="paragraph">
              <wp:posOffset>18415</wp:posOffset>
            </wp:positionV>
            <wp:extent cx="1383665" cy="2083435"/>
            <wp:effectExtent l="0" t="0" r="635" b="0"/>
            <wp:wrapTight wrapText="bothSides">
              <wp:wrapPolygon edited="0">
                <wp:start x="0" y="0"/>
                <wp:lineTo x="0" y="21462"/>
                <wp:lineTo x="21412" y="21462"/>
                <wp:lineTo x="21412" y="0"/>
                <wp:lineTo x="0" y="0"/>
              </wp:wrapPolygon>
            </wp:wrapTight>
            <wp:docPr id="992556679" name="Image 1" descr="Une image contenant personne, Visage humain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56679" name="Image 1" descr="Une image contenant personne, Visage humain, sourire, habits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5B2">
        <w:rPr>
          <w:rFonts w:ascii="Calibri" w:hAnsi="Calibri"/>
          <w:b/>
          <w:noProof/>
          <w:color w:val="003366"/>
          <w:sz w:val="40"/>
        </w:rPr>
        <w:t>Noémie DOMINGUEZ</w:t>
      </w:r>
    </w:p>
    <w:p w14:paraId="756EE35F" w14:textId="17D572B1" w:rsidR="008665B2" w:rsidRPr="007050E4" w:rsidRDefault="00C00DD7" w:rsidP="008665B2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8080"/>
          <w:sz w:val="22"/>
        </w:rPr>
      </w:pPr>
      <w:r>
        <w:rPr>
          <w:rFonts w:ascii="Calibri" w:hAnsi="Calibri"/>
          <w:noProof/>
          <w:color w:val="003366"/>
          <w:sz w:val="28"/>
          <w:szCs w:val="28"/>
        </w:rPr>
        <w:t>Professeure des Universités</w:t>
      </w:r>
      <w:r w:rsidR="008665B2">
        <w:rPr>
          <w:rFonts w:ascii="Calibri" w:hAnsi="Calibri"/>
          <w:noProof/>
          <w:color w:val="003366"/>
          <w:sz w:val="28"/>
          <w:szCs w:val="28"/>
        </w:rPr>
        <w:t xml:space="preserve"> en Sciences ce Gestion</w:t>
      </w:r>
    </w:p>
    <w:p w14:paraId="3A15A1F5" w14:textId="22DE06D9" w:rsidR="0065098A" w:rsidRPr="007050E4" w:rsidRDefault="0065098A" w:rsidP="00457826">
      <w:pPr>
        <w:tabs>
          <w:tab w:val="left" w:pos="3686"/>
        </w:tabs>
        <w:spacing w:line="23" w:lineRule="atLeast"/>
        <w:rPr>
          <w:rFonts w:ascii="Calibri" w:hAnsi="Calibri"/>
          <w:color w:val="008080"/>
          <w:sz w:val="22"/>
        </w:rPr>
      </w:pPr>
    </w:p>
    <w:p w14:paraId="6AF303F3" w14:textId="1A12A07A" w:rsidR="00D513DD" w:rsidRPr="008665B2" w:rsidRDefault="002A1DFD" w:rsidP="00457826">
      <w:pPr>
        <w:tabs>
          <w:tab w:val="left" w:pos="1134"/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color w:val="003366"/>
          <w:sz w:val="24"/>
          <w:szCs w:val="24"/>
        </w:rPr>
        <w:tab/>
      </w:r>
      <w:r w:rsidR="008665B2" w:rsidRPr="00A10F74">
        <w:rPr>
          <w:rFonts w:ascii="Calibri" w:hAnsi="Calibri"/>
          <w:color w:val="003366"/>
          <w:sz w:val="24"/>
          <w:szCs w:val="24"/>
        </w:rPr>
        <w:t>noemie.dominguez</w:t>
      </w:r>
      <w:r w:rsidR="008665B2" w:rsidRPr="00A10F74">
        <w:rPr>
          <w:rFonts w:ascii="Calibri" w:hAnsi="Calibri"/>
          <w:noProof/>
          <w:color w:val="003366"/>
          <w:sz w:val="24"/>
          <w:szCs w:val="24"/>
        </w:rPr>
        <w:t>@univ-lyon3.fr</w:t>
      </w:r>
    </w:p>
    <w:p w14:paraId="07EB7A37" w14:textId="77777777" w:rsidR="00D61CBD" w:rsidRPr="008665B2" w:rsidRDefault="002A1DFD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 w:rsidRPr="008665B2">
        <w:rPr>
          <w:rFonts w:ascii="Calibri" w:hAnsi="Calibri"/>
          <w:b/>
          <w:color w:val="003366"/>
          <w:sz w:val="24"/>
          <w:szCs w:val="24"/>
        </w:rPr>
        <w:tab/>
      </w:r>
      <w:proofErr w:type="spellStart"/>
      <w:proofErr w:type="gramStart"/>
      <w:r w:rsidR="00D61CBD" w:rsidRPr="008665B2">
        <w:rPr>
          <w:rFonts w:ascii="Calibri" w:hAnsi="Calibri"/>
          <w:b/>
          <w:color w:val="003366"/>
          <w:sz w:val="30"/>
          <w:szCs w:val="30"/>
        </w:rPr>
        <w:t>iaelyon</w:t>
      </w:r>
      <w:proofErr w:type="spellEnd"/>
      <w:proofErr w:type="gramEnd"/>
      <w:r w:rsidR="00D61CBD" w:rsidRPr="008665B2">
        <w:rPr>
          <w:rFonts w:ascii="Calibri" w:hAnsi="Calibri"/>
          <w:color w:val="003366"/>
          <w:sz w:val="28"/>
          <w:szCs w:val="28"/>
        </w:rPr>
        <w:t xml:space="preserve"> </w:t>
      </w:r>
      <w:proofErr w:type="spellStart"/>
      <w:r w:rsidR="00D61CBD" w:rsidRPr="008665B2">
        <w:rPr>
          <w:rFonts w:ascii="Calibri" w:hAnsi="Calibri"/>
          <w:color w:val="003366"/>
          <w:sz w:val="26"/>
          <w:szCs w:val="26"/>
        </w:rPr>
        <w:t>School</w:t>
      </w:r>
      <w:proofErr w:type="spellEnd"/>
      <w:r w:rsidR="00D61CBD" w:rsidRPr="008665B2">
        <w:rPr>
          <w:rFonts w:ascii="Calibri" w:hAnsi="Calibri"/>
          <w:color w:val="003366"/>
          <w:sz w:val="26"/>
          <w:szCs w:val="26"/>
        </w:rPr>
        <w:t xml:space="preserve"> of Management </w:t>
      </w:r>
      <w:r w:rsidR="00D61CBD" w:rsidRPr="008665B2">
        <w:rPr>
          <w:rFonts w:ascii="Calibri" w:hAnsi="Calibri"/>
          <w:color w:val="003366"/>
          <w:sz w:val="24"/>
          <w:szCs w:val="24"/>
        </w:rPr>
        <w:br/>
        <w:t xml:space="preserve"> </w:t>
      </w:r>
      <w:r w:rsidR="00D61CBD" w:rsidRPr="008665B2">
        <w:rPr>
          <w:rFonts w:ascii="Calibri" w:hAnsi="Calibri"/>
          <w:color w:val="003366"/>
          <w:sz w:val="24"/>
          <w:szCs w:val="24"/>
        </w:rPr>
        <w:tab/>
      </w:r>
      <w:r w:rsidR="009622ED" w:rsidRPr="008665B2">
        <w:rPr>
          <w:rFonts w:ascii="Calibri" w:hAnsi="Calibri"/>
          <w:b/>
          <w:color w:val="003366"/>
          <w:sz w:val="24"/>
          <w:szCs w:val="24"/>
        </w:rPr>
        <w:t>Université Jean Moulin</w:t>
      </w:r>
      <w:r w:rsidR="009622ED" w:rsidRPr="008665B2">
        <w:rPr>
          <w:rFonts w:ascii="Calibri" w:hAnsi="Calibri"/>
          <w:color w:val="003366"/>
          <w:sz w:val="24"/>
          <w:szCs w:val="24"/>
        </w:rPr>
        <w:t xml:space="preserve"> </w:t>
      </w:r>
    </w:p>
    <w:p w14:paraId="6FBC4A0C" w14:textId="77777777" w:rsidR="00E92801" w:rsidRPr="00E736A6" w:rsidRDefault="00AD6159" w:rsidP="00E92801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4"/>
          <w:szCs w:val="24"/>
        </w:rPr>
      </w:pPr>
      <w:r w:rsidRPr="008665B2">
        <w:rPr>
          <w:rFonts w:ascii="Calibri" w:hAnsi="Calibri"/>
          <w:color w:val="003366"/>
          <w:sz w:val="24"/>
          <w:szCs w:val="24"/>
        </w:rPr>
        <w:tab/>
      </w:r>
      <w:r w:rsidR="00E92801" w:rsidRPr="00E736A6">
        <w:rPr>
          <w:rFonts w:ascii="Calibri" w:hAnsi="Calibri"/>
          <w:color w:val="003366"/>
          <w:sz w:val="24"/>
          <w:szCs w:val="24"/>
        </w:rPr>
        <w:t>1C, avenue des Frères Lumière - CS 78242</w:t>
      </w:r>
      <w:r w:rsidR="00E92801">
        <w:rPr>
          <w:rFonts w:ascii="Calibri" w:hAnsi="Calibri"/>
          <w:color w:val="003366"/>
          <w:sz w:val="24"/>
          <w:szCs w:val="24"/>
        </w:rPr>
        <w:br/>
      </w:r>
      <w:r w:rsidR="00E92801">
        <w:rPr>
          <w:rFonts w:ascii="Calibri" w:hAnsi="Calibri"/>
          <w:color w:val="003366"/>
          <w:sz w:val="24"/>
          <w:szCs w:val="24"/>
        </w:rPr>
        <w:tab/>
      </w:r>
      <w:r w:rsidR="00E92801" w:rsidRPr="00E736A6">
        <w:rPr>
          <w:rFonts w:ascii="Calibri" w:hAnsi="Calibri"/>
          <w:color w:val="003366"/>
          <w:sz w:val="24"/>
          <w:szCs w:val="24"/>
        </w:rPr>
        <w:t>69372 LYON CEDEX 08 (FRANCE)</w:t>
      </w:r>
    </w:p>
    <w:p w14:paraId="2571A5CC" w14:textId="77777777" w:rsidR="00322895" w:rsidRPr="00E92801" w:rsidRDefault="00322895" w:rsidP="00E92801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2"/>
        </w:rPr>
      </w:pPr>
    </w:p>
    <w:p w14:paraId="13F24B45" w14:textId="77777777" w:rsidR="00B1771A" w:rsidRPr="00E92801" w:rsidRDefault="006447AE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B4A0F9" wp14:editId="10903F82">
                <wp:simplePos x="0" y="0"/>
                <wp:positionH relativeFrom="column">
                  <wp:posOffset>2340610</wp:posOffset>
                </wp:positionH>
                <wp:positionV relativeFrom="paragraph">
                  <wp:posOffset>24130</wp:posOffset>
                </wp:positionV>
                <wp:extent cx="3471545" cy="1314450"/>
                <wp:effectExtent l="0" t="0" r="1460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13144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6644" w14:textId="77777777" w:rsidR="008665B2" w:rsidRPr="00B1771A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1771A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DOMAINES D’EXPERTISE : </w:t>
                            </w:r>
                          </w:p>
                          <w:p w14:paraId="3783FA32" w14:textId="77777777" w:rsidR="008665B2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Management International</w:t>
                            </w:r>
                          </w:p>
                          <w:p w14:paraId="5D22328B" w14:textId="77777777" w:rsidR="008665B2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Techniques qualitatives</w:t>
                            </w:r>
                          </w:p>
                          <w:p w14:paraId="03F9EB4C" w14:textId="3CC1A103" w:rsidR="008665B2" w:rsidRDefault="00A10F74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</w:t>
                            </w:r>
                            <w:r w:rsidR="008665B2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nternationalisation des PME</w:t>
                            </w:r>
                          </w:p>
                          <w:p w14:paraId="25C46C32" w14:textId="77777777" w:rsidR="008665B2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Management Stratégique</w:t>
                            </w:r>
                          </w:p>
                          <w:p w14:paraId="7B778CBB" w14:textId="77777777" w:rsidR="00B1771A" w:rsidRPr="00B1771A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Intégration des réfugiés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A0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4.3pt;margin-top:1.9pt;width:273.35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" fillcolor="#1f497d">
                <v:textbox>
                  <w:txbxContent>
                    <w:p w14:paraId="27746644" w14:textId="77777777" w:rsidR="008665B2" w:rsidRPr="00B1771A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1771A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 xml:space="preserve">DOMAINES D’EXPERTISE : </w:t>
                      </w:r>
                    </w:p>
                    <w:p w14:paraId="3783FA32" w14:textId="77777777" w:rsidR="008665B2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Management International</w:t>
                      </w:r>
                    </w:p>
                    <w:p w14:paraId="5D22328B" w14:textId="77777777" w:rsidR="008665B2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Techniques qualitatives</w:t>
                      </w:r>
                    </w:p>
                    <w:p w14:paraId="03F9EB4C" w14:textId="3CC1A103" w:rsidR="008665B2" w:rsidRDefault="00A10F74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I</w:t>
                      </w:r>
                      <w:r w:rsidR="008665B2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nternationalisation des PME</w:t>
                      </w:r>
                    </w:p>
                    <w:p w14:paraId="25C46C32" w14:textId="77777777" w:rsidR="008665B2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Management Stratégique</w:t>
                      </w:r>
                    </w:p>
                    <w:p w14:paraId="7B778CBB" w14:textId="77777777" w:rsidR="00B1771A" w:rsidRPr="00B1771A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Intégration des réfugiés</w:t>
                      </w:r>
                    </w:p>
                  </w:txbxContent>
                </v:textbox>
              </v:shape>
            </w:pict>
          </mc:Fallback>
        </mc:AlternateContent>
      </w:r>
    </w:p>
    <w:p w14:paraId="513E4678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5D225078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0875F47F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30316B01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72E2C80C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01216787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798D608F" w14:textId="77777777" w:rsidR="004166F1" w:rsidRPr="00E92801" w:rsidRDefault="004166F1" w:rsidP="00B4034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14:paraId="3FBE48D5" w14:textId="4D13F426" w:rsidR="009718A1" w:rsidRDefault="008665B2" w:rsidP="008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3" w:lineRule="atLeast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 xml:space="preserve">Biographie </w:t>
      </w:r>
      <w:r>
        <w:rPr>
          <w:rFonts w:ascii="Calibri" w:hAnsi="Calibri"/>
          <w:b/>
          <w:color w:val="003366"/>
          <w:sz w:val="26"/>
          <w:szCs w:val="26"/>
        </w:rPr>
        <w:br/>
      </w:r>
      <w:r w:rsidRPr="00711788">
        <w:rPr>
          <w:rFonts w:ascii="Calibri" w:hAnsi="Calibri"/>
          <w:bCs/>
          <w:color w:val="000000" w:themeColor="text1"/>
          <w:sz w:val="26"/>
          <w:szCs w:val="26"/>
        </w:rPr>
        <w:t xml:space="preserve">Noémie Dominguez est 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Professeure des Universités</w:t>
      </w:r>
      <w:r w:rsidRPr="00711788">
        <w:rPr>
          <w:rFonts w:ascii="Calibri" w:hAnsi="Calibri"/>
          <w:bCs/>
          <w:color w:val="000000" w:themeColor="text1"/>
          <w:sz w:val="26"/>
          <w:szCs w:val="26"/>
        </w:rPr>
        <w:t xml:space="preserve"> en Sciences de Gestion. Ses travaux s’axent principalement autour des stratégies d’internationalisation des PME, des réseaux d’affaires, de l’entrepreneuriat international 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et </w:t>
      </w:r>
      <w:r w:rsidRPr="00711788">
        <w:rPr>
          <w:rFonts w:ascii="Calibri" w:hAnsi="Calibri"/>
          <w:bCs/>
          <w:color w:val="000000" w:themeColor="text1"/>
          <w:sz w:val="26"/>
          <w:szCs w:val="26"/>
        </w:rPr>
        <w:t>migrant.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</w:t>
      </w:r>
      <w:r>
        <w:rPr>
          <w:rFonts w:ascii="Calibri" w:hAnsi="Calibri"/>
          <w:bCs/>
          <w:color w:val="000000" w:themeColor="text1"/>
          <w:sz w:val="26"/>
          <w:szCs w:val="26"/>
        </w:rPr>
        <w:br/>
        <w:t xml:space="preserve">Elle est </w:t>
      </w:r>
      <w:r w:rsidRPr="008665B2">
        <w:rPr>
          <w:rFonts w:ascii="Calibri" w:hAnsi="Calibri"/>
          <w:bCs/>
          <w:color w:val="000000" w:themeColor="text1"/>
          <w:sz w:val="26"/>
          <w:szCs w:val="26"/>
        </w:rPr>
        <w:t xml:space="preserve">Responsable 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D</w:t>
      </w:r>
      <w:r w:rsidRPr="008665B2">
        <w:rPr>
          <w:rFonts w:ascii="Calibri" w:hAnsi="Calibri"/>
          <w:bCs/>
          <w:color w:val="000000" w:themeColor="text1"/>
          <w:sz w:val="26"/>
          <w:szCs w:val="26"/>
        </w:rPr>
        <w:t xml:space="preserve">éveloppement 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I</w:t>
      </w:r>
      <w:r w:rsidRPr="008665B2">
        <w:rPr>
          <w:rFonts w:ascii="Calibri" w:hAnsi="Calibri"/>
          <w:bCs/>
          <w:color w:val="000000" w:themeColor="text1"/>
          <w:sz w:val="26"/>
          <w:szCs w:val="26"/>
        </w:rPr>
        <w:t>nternational et Accréditations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dans l’Equipe de Direction de l’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iaelyon</w:t>
      </w:r>
      <w:proofErr w:type="spellEnd"/>
      <w:r w:rsidR="00C00DD7">
        <w:rPr>
          <w:rFonts w:ascii="Calibri" w:hAnsi="Calibri"/>
          <w:bCs/>
          <w:color w:val="000000" w:themeColor="text1"/>
          <w:sz w:val="26"/>
          <w:szCs w:val="26"/>
        </w:rPr>
        <w:t xml:space="preserve"> et membre du Conseil d’Administration de l’Université Jean Moulin Lyon 3.</w:t>
      </w:r>
      <w:r>
        <w:rPr>
          <w:rFonts w:ascii="Calibri" w:hAnsi="Calibri"/>
          <w:bCs/>
          <w:color w:val="000000" w:themeColor="text1"/>
          <w:sz w:val="26"/>
          <w:szCs w:val="26"/>
        </w:rPr>
        <w:br/>
      </w:r>
      <w:r w:rsidRPr="008665B2">
        <w:rPr>
          <w:rFonts w:ascii="Calibri" w:hAnsi="Calibri"/>
          <w:bCs/>
          <w:color w:val="000000" w:themeColor="text1"/>
          <w:sz w:val="10"/>
          <w:szCs w:val="10"/>
        </w:rPr>
        <w:br/>
      </w:r>
      <w:r w:rsidR="00043CC2">
        <w:rPr>
          <w:rFonts w:ascii="Calibri" w:hAnsi="Calibri"/>
          <w:bCs/>
          <w:color w:val="000000" w:themeColor="text1"/>
          <w:sz w:val="26"/>
          <w:szCs w:val="26"/>
        </w:rPr>
        <w:t xml:space="preserve">Elle assure la </w:t>
      </w:r>
      <w:r>
        <w:rPr>
          <w:rFonts w:ascii="Calibri" w:hAnsi="Calibri"/>
          <w:bCs/>
          <w:color w:val="000000" w:themeColor="text1"/>
          <w:sz w:val="26"/>
          <w:szCs w:val="26"/>
        </w:rPr>
        <w:t>responsa</w:t>
      </w:r>
      <w:r w:rsidR="00043CC2">
        <w:rPr>
          <w:rFonts w:ascii="Calibri" w:hAnsi="Calibri"/>
          <w:bCs/>
          <w:color w:val="000000" w:themeColor="text1"/>
          <w:sz w:val="26"/>
          <w:szCs w:val="26"/>
        </w:rPr>
        <w:t>bilité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pédagogique du Master 2 Manager des Affaires Européennes 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ainsi que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 xml:space="preserve"> du 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M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 xml:space="preserve">aster 1 International Business </w:t>
      </w:r>
      <w:proofErr w:type="spellStart"/>
      <w:r w:rsidR="00C00DD7">
        <w:rPr>
          <w:rFonts w:ascii="Calibri" w:hAnsi="Calibri"/>
          <w:bCs/>
          <w:color w:val="000000" w:themeColor="text1"/>
          <w:sz w:val="26"/>
          <w:szCs w:val="26"/>
        </w:rPr>
        <w:t>Realities</w:t>
      </w:r>
      <w:proofErr w:type="spellEnd"/>
      <w:r w:rsidR="00C00DD7">
        <w:rPr>
          <w:rFonts w:ascii="Calibri" w:hAnsi="Calibri"/>
          <w:bCs/>
          <w:color w:val="000000" w:themeColor="text1"/>
          <w:sz w:val="26"/>
          <w:szCs w:val="26"/>
        </w:rPr>
        <w:t>. Elle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co-Dir</w:t>
      </w:r>
      <w:r w:rsidR="00043CC2">
        <w:rPr>
          <w:rFonts w:ascii="Calibri" w:hAnsi="Calibri"/>
          <w:bCs/>
          <w:color w:val="000000" w:themeColor="text1"/>
          <w:sz w:val="26"/>
          <w:szCs w:val="26"/>
        </w:rPr>
        <w:t>ige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de la mention « Management et Commerce International » (accréditée EFMD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Accredited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 Programmes)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 xml:space="preserve"> en collaboration avec Marco Heimann.</w:t>
      </w:r>
      <w:r>
        <w:rPr>
          <w:rFonts w:ascii="Calibri" w:hAnsi="Calibri"/>
          <w:bCs/>
          <w:color w:val="000000" w:themeColor="text1"/>
          <w:sz w:val="26"/>
          <w:szCs w:val="26"/>
        </w:rPr>
        <w:br/>
      </w:r>
      <w:r w:rsidRPr="008665B2">
        <w:rPr>
          <w:rFonts w:ascii="Calibri" w:hAnsi="Calibri"/>
          <w:bCs/>
          <w:color w:val="000000" w:themeColor="text1"/>
          <w:sz w:val="10"/>
          <w:szCs w:val="10"/>
        </w:rPr>
        <w:br/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Elle est membre du laboratoire Magellan - iaelyon et participe aux activités du groupe thématique Stratégie et de l’équipe transversale « Management International » (qu’elle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co-anime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 avec Ludivine Chalençon). Elle est l’auteur 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d’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ouvrages et articles publiées dans des revues francophones et internationales 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de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management international, telles qu’International Business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Review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, Management International, Revue Internationale PME,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M@n@gement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, Journal of International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Entrepreneurship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>, etc. Elle est membre de plusieurs associations scientifiques et membre du comité scientifique d’Atlas/AFMI</w:t>
      </w:r>
      <w:r w:rsidR="00C00DD7">
        <w:rPr>
          <w:rFonts w:ascii="Calibri" w:hAnsi="Calibri"/>
          <w:bCs/>
          <w:color w:val="000000" w:themeColor="text1"/>
          <w:sz w:val="26"/>
          <w:szCs w:val="26"/>
        </w:rPr>
        <w:t>.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</w:t>
      </w:r>
    </w:p>
    <w:p w14:paraId="6C49AF21" w14:textId="77777777" w:rsidR="00043CC2" w:rsidRDefault="00043CC2" w:rsidP="00B4034B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1DEF84A4" w14:textId="77777777" w:rsidR="00A10F74" w:rsidRDefault="00A10F74" w:rsidP="00B4034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61D06891" w14:textId="77777777" w:rsidR="00B4034B" w:rsidRPr="00AE4491" w:rsidRDefault="00B4034B" w:rsidP="00B4034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FONCTIONS</w:t>
      </w:r>
    </w:p>
    <w:p w14:paraId="46C74714" w14:textId="77777777" w:rsidR="00C00DD7" w:rsidRDefault="00C00DD7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Depuis 2024 : </w:t>
      </w:r>
    </w:p>
    <w:p w14:paraId="38698989" w14:textId="77777777" w:rsidR="00C00DD7" w:rsidRDefault="00C00DD7" w:rsidP="00C00DD7">
      <w:pPr>
        <w:numPr>
          <w:ilvl w:val="1"/>
          <w:numId w:val="3"/>
        </w:num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Membre du Conseil d’Administration de l’Université Jean Moulin Lyon 3 (décembre)</w:t>
      </w:r>
    </w:p>
    <w:p w14:paraId="7F2A0966" w14:textId="3168BF15" w:rsidR="00C00DD7" w:rsidRDefault="00C00DD7" w:rsidP="00C00DD7">
      <w:pPr>
        <w:numPr>
          <w:ilvl w:val="1"/>
          <w:numId w:val="3"/>
        </w:num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Responsable Pédagogique du Master 1 International Business </w:t>
      </w:r>
      <w:proofErr w:type="spellStart"/>
      <w:r>
        <w:rPr>
          <w:rFonts w:ascii="Calibri" w:hAnsi="Calibri" w:cs="Tahoma"/>
          <w:sz w:val="24"/>
          <w:szCs w:val="24"/>
        </w:rPr>
        <w:t>Realities</w:t>
      </w:r>
      <w:proofErr w:type="spellEnd"/>
      <w:r>
        <w:rPr>
          <w:rFonts w:ascii="Calibri" w:hAnsi="Calibri" w:cs="Tahoma"/>
          <w:sz w:val="24"/>
          <w:szCs w:val="24"/>
        </w:rPr>
        <w:t>.</w:t>
      </w:r>
    </w:p>
    <w:p w14:paraId="13486BF4" w14:textId="118A3BEF" w:rsidR="00B4034B" w:rsidRDefault="00B4034B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 w:rsidRPr="00AE4491">
        <w:rPr>
          <w:rFonts w:ascii="Calibri" w:hAnsi="Calibri" w:cs="Tahoma"/>
          <w:sz w:val="24"/>
          <w:szCs w:val="24"/>
        </w:rPr>
        <w:lastRenderedPageBreak/>
        <w:t>Depuis</w:t>
      </w:r>
      <w:r w:rsidR="00043CC2">
        <w:rPr>
          <w:rFonts w:ascii="Calibri" w:hAnsi="Calibri" w:cs="Tahoma"/>
          <w:sz w:val="24"/>
          <w:szCs w:val="24"/>
        </w:rPr>
        <w:t xml:space="preserve"> 2023 : </w:t>
      </w:r>
      <w:r w:rsidR="00043CC2" w:rsidRPr="00043CC2">
        <w:rPr>
          <w:rFonts w:ascii="Calibri" w:hAnsi="Calibri" w:cs="Tahoma"/>
          <w:sz w:val="24"/>
          <w:szCs w:val="24"/>
        </w:rPr>
        <w:t>Responsable développement international et Accréditations dans l’Equipe de Direction de l’iaelyon.</w:t>
      </w:r>
    </w:p>
    <w:p w14:paraId="5C622AFC" w14:textId="77777777" w:rsidR="00043CC2" w:rsidRDefault="00043CC2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Depuis 2022 : Responsable pédagogique du Master Manager des Affaires Européennes</w:t>
      </w:r>
    </w:p>
    <w:p w14:paraId="4EA3383D" w14:textId="1B008019" w:rsidR="00C00DD7" w:rsidRDefault="00C00DD7" w:rsidP="00C00DD7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2021-2024 : </w:t>
      </w:r>
      <w:r w:rsidRPr="00EA2DD0">
        <w:rPr>
          <w:rFonts w:asciiTheme="minorHAnsi" w:hAnsiTheme="minorHAnsi" w:cstheme="minorHAnsi"/>
          <w:sz w:val="24"/>
          <w:szCs w:val="24"/>
        </w:rPr>
        <w:t>Co-</w:t>
      </w:r>
      <w:r>
        <w:rPr>
          <w:rFonts w:asciiTheme="minorHAnsi" w:hAnsiTheme="minorHAnsi" w:cstheme="minorHAnsi"/>
          <w:sz w:val="24"/>
          <w:szCs w:val="24"/>
        </w:rPr>
        <w:t>Responsable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2DD0">
        <w:rPr>
          <w:rFonts w:asciiTheme="minorHAnsi" w:hAnsiTheme="minorHAnsi" w:cstheme="minorHAnsi"/>
          <w:sz w:val="24"/>
          <w:szCs w:val="24"/>
        </w:rPr>
        <w:t>du projet européen H2020 « MERGING 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Integration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for Migrants</w:t>
      </w:r>
      <w:r>
        <w:rPr>
          <w:rFonts w:asciiTheme="minorHAnsi" w:hAnsiTheme="minorHAnsi" w:cstheme="minorHAnsi"/>
          <w:sz w:val="24"/>
          <w:szCs w:val="24"/>
        </w:rPr>
        <w:t> »</w:t>
      </w:r>
      <w:r w:rsidRPr="00EA2DD0">
        <w:rPr>
          <w:rFonts w:asciiTheme="minorHAnsi" w:hAnsiTheme="minorHAnsi" w:cstheme="minorHAnsi"/>
          <w:sz w:val="24"/>
          <w:szCs w:val="24"/>
        </w:rPr>
        <w:t xml:space="preserve"> (en collaboration avec Catherine Mercier-Suissa)</w:t>
      </w:r>
    </w:p>
    <w:p w14:paraId="55D16CC8" w14:textId="77777777" w:rsidR="00C00DD7" w:rsidRPr="00EA2DD0" w:rsidRDefault="00C00DD7" w:rsidP="00C00DD7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2020-2024 : </w:t>
      </w:r>
      <w:r>
        <w:rPr>
          <w:rFonts w:asciiTheme="minorHAnsi" w:hAnsiTheme="minorHAnsi" w:cstheme="minorHAnsi"/>
          <w:sz w:val="24"/>
          <w:szCs w:val="24"/>
        </w:rPr>
        <w:t>Vice-Présidente du Collège d’Experts</w:t>
      </w:r>
    </w:p>
    <w:p w14:paraId="3D17D9FE" w14:textId="0F610576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Depuis 2020 : </w:t>
      </w:r>
    </w:p>
    <w:p w14:paraId="5712B3F2" w14:textId="77777777" w:rsidR="00043CC2" w:rsidRPr="00EA2DD0" w:rsidRDefault="00043CC2" w:rsidP="00043CC2">
      <w:pPr>
        <w:numPr>
          <w:ilvl w:val="1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Co-directrice de la mention Master Management et Commerce International (en collaboration avec Marco Heimann),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iaelyon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of Management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EA2DD0">
        <w:rPr>
          <w:rFonts w:asciiTheme="minorHAnsi" w:hAnsiTheme="minorHAnsi" w:cstheme="minorHAnsi"/>
          <w:sz w:val="24"/>
          <w:szCs w:val="24"/>
        </w:rPr>
        <w:t xml:space="preserve"> Université Jean Moulin Lyon</w:t>
      </w:r>
      <w:r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038E407B" w14:textId="77777777" w:rsidR="00043CC2" w:rsidRPr="00EA2DD0" w:rsidRDefault="00043CC2" w:rsidP="00043CC2">
      <w:pPr>
        <w:numPr>
          <w:ilvl w:val="1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Co-Responsable de l’équipe de recherche thématique Management International (en collaboration avec Ludivine Chalençon),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iaelyon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of Management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EA2DD0">
        <w:rPr>
          <w:rFonts w:asciiTheme="minorHAnsi" w:hAnsiTheme="minorHAnsi" w:cstheme="minorHAnsi"/>
          <w:sz w:val="24"/>
          <w:szCs w:val="24"/>
        </w:rPr>
        <w:t xml:space="preserve"> Université Jean Moulin Lyon</w:t>
      </w:r>
      <w:r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1009A666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2017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-2021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 : Co-directrice de la Chaire internationale “Internationalisation des PME” (en collaboration avec Ulrike Mayrhofer) </w:t>
      </w:r>
    </w:p>
    <w:p w14:paraId="5D4154CB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Depuis 2016 : </w:t>
      </w:r>
    </w:p>
    <w:p w14:paraId="2E5EE35D" w14:textId="77777777" w:rsidR="00043CC2" w:rsidRDefault="00043CC2" w:rsidP="00043CC2">
      <w:pPr>
        <w:numPr>
          <w:ilvl w:val="1"/>
          <w:numId w:val="2"/>
        </w:numPr>
        <w:tabs>
          <w:tab w:val="clear" w:pos="144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Maître de Conférences en Sciences de Gestion </w:t>
      </w:r>
    </w:p>
    <w:p w14:paraId="094524AE" w14:textId="77777777" w:rsidR="00043CC2" w:rsidRPr="00EA2DD0" w:rsidRDefault="00043CC2" w:rsidP="00043CC2">
      <w:pPr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2016-2022 : 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Responsable Pédagogique du Master 1 International Business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Realities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(en anglais),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 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</w:p>
    <w:p w14:paraId="3C9CDC09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2014 - 2016 : Assistante Temporaire d’Enseignement et de Recherche (ATER),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</w:p>
    <w:p w14:paraId="68B22148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2011 - 2016 : Doctorante en Sciences de Gestion avec charge d’enseignement,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</w:p>
    <w:p w14:paraId="14B3A319" w14:textId="77777777" w:rsidR="00043CC2" w:rsidRDefault="00043CC2" w:rsidP="00043CC2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4A84A4B0" w14:textId="77777777" w:rsidR="00043CC2" w:rsidRDefault="00043CC2" w:rsidP="00043CC2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5DAECD07" w14:textId="77777777" w:rsidR="00043CC2" w:rsidRPr="00AE4491" w:rsidRDefault="00043CC2" w:rsidP="00043CC2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TITRES ET DIPLOMES</w:t>
      </w:r>
    </w:p>
    <w:p w14:paraId="7A5A52CE" w14:textId="27F60879" w:rsidR="00C00DD7" w:rsidRDefault="00C00DD7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2024 : Lauréate du Concours National d’Agrégation pour le Recrutement des Professeurs des Universités en Sciences de Gestion</w:t>
      </w:r>
    </w:p>
    <w:p w14:paraId="15FC5E43" w14:textId="3CED65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2021 : Habilitation à Diriger des Recherches en Sciences de Gestion, « Internationalisation des PME : stratégies, réseaux et effets d’expérience », HDR soutenue le 1</w:t>
      </w:r>
      <w:r w:rsidRPr="00467790">
        <w:rPr>
          <w:rFonts w:asciiTheme="minorHAnsi" w:eastAsiaTheme="minorHAnsi" w:hAnsiTheme="minorHAnsi" w:cstheme="minorBidi"/>
          <w:sz w:val="24"/>
          <w:szCs w:val="24"/>
          <w:vertAlign w:val="superscript"/>
          <w:lang w:eastAsia="en-US"/>
        </w:rPr>
        <w:t>er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juin 2021 à Aix-Marseille Université</w:t>
      </w:r>
    </w:p>
    <w:p w14:paraId="0DB8E637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2015 : Doctorat -ès en Sciences de Gestion, « Internationalisation des PME et déploiement des stratégies tête-de-pont », Thèse soutenue le 2 juillet 2015 à l’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Mention très honorable avec félicitations du jury (prix de thèse 2016 de l’Université Jean Moulin Lyon)</w:t>
      </w:r>
    </w:p>
    <w:p w14:paraId="09649676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2009-2011 : Master Management et Commerce International – Parcours recherche (Management des Activités Internationales), l’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, mention Bien.</w:t>
      </w:r>
    </w:p>
    <w:p w14:paraId="72ECF578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2006-2009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: Licence Administration des Entreprises et des Sociétés (AES),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et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DeMontfort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, Leicester (Royaume-Uni), mention Assez Bien</w:t>
      </w:r>
    </w:p>
    <w:p w14:paraId="0791FD2D" w14:textId="77777777" w:rsidR="00043CC2" w:rsidRPr="007B09D5" w:rsidRDefault="00043CC2" w:rsidP="00043CC2">
      <w:pPr>
        <w:spacing w:line="27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AA4F23" w14:textId="77777777" w:rsidR="00043CC2" w:rsidRPr="00EA2DD0" w:rsidRDefault="00043CC2" w:rsidP="00043CC2">
      <w:pPr>
        <w:spacing w:line="23" w:lineRule="atLeast"/>
        <w:jc w:val="both"/>
        <w:rPr>
          <w:rFonts w:ascii="Calibri" w:hAnsi="Calibri"/>
          <w:b/>
          <w:caps/>
          <w:color w:val="003366"/>
          <w:sz w:val="24"/>
          <w:szCs w:val="24"/>
        </w:rPr>
      </w:pPr>
      <w:r w:rsidRPr="00EA2DD0">
        <w:rPr>
          <w:rFonts w:ascii="Calibri" w:hAnsi="Calibri"/>
          <w:b/>
          <w:caps/>
          <w:color w:val="003366"/>
          <w:sz w:val="24"/>
          <w:szCs w:val="24"/>
        </w:rPr>
        <w:lastRenderedPageBreak/>
        <w:t>Tutorats doctoraux</w:t>
      </w:r>
    </w:p>
    <w:p w14:paraId="4EAAB680" w14:textId="77777777" w:rsidR="00043CC2" w:rsidRPr="00043CC2" w:rsidRDefault="00043CC2" w:rsidP="00D90FC1">
      <w:pPr>
        <w:numPr>
          <w:ilvl w:val="0"/>
          <w:numId w:val="2"/>
        </w:numPr>
        <w:tabs>
          <w:tab w:val="clear" w:pos="360"/>
        </w:tabs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2013 : Participation au tutorat doctoral du tutorat doctoral John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Dunning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organisé dans le cadre de la 26ème Conférence annuelle de l’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European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International Business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Academy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(EIBA),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University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Sussex, Birmingham (Royaume-Uni), 7 décembre</w:t>
      </w:r>
    </w:p>
    <w:p w14:paraId="06281C9A" w14:textId="77777777" w:rsidR="00043CC2" w:rsidRPr="00043CC2" w:rsidRDefault="00043CC2" w:rsidP="00D90FC1">
      <w:pPr>
        <w:numPr>
          <w:ilvl w:val="0"/>
          <w:numId w:val="2"/>
        </w:numPr>
        <w:tabs>
          <w:tab w:val="clear" w:pos="360"/>
        </w:tabs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2012 : Participation au tutorat doctoral de la 2ème Conférence Annuelle d’Atlas/AFMI,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 3, 31 mai (finaliste pour le prix du meilleur projet doctoral)</w:t>
      </w:r>
    </w:p>
    <w:p w14:paraId="4BDDFA17" w14:textId="77777777"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1DD01C66" w14:textId="77777777"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53DE38F0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  <w:lang w:val="en-US"/>
        </w:rPr>
      </w:pPr>
      <w:r w:rsidRPr="00A10F74">
        <w:rPr>
          <w:rFonts w:ascii="Calibri" w:hAnsi="Calibri"/>
          <w:b/>
          <w:color w:val="003366"/>
          <w:sz w:val="26"/>
          <w:szCs w:val="26"/>
          <w:lang w:val="en-US"/>
        </w:rPr>
        <w:t>DOMAINES D'ENSEIGNEMENT</w:t>
      </w:r>
    </w:p>
    <w:p w14:paraId="5A799505" w14:textId="77777777" w:rsidR="000E1C3B" w:rsidRDefault="000E1C3B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919"/>
      </w:tblGrid>
      <w:tr w:rsidR="000E1C3B" w:rsidRPr="00C00DD7" w14:paraId="68422C32" w14:textId="77777777" w:rsidTr="000E1C3B">
        <w:trPr>
          <w:trHeight w:val="1611"/>
        </w:trPr>
        <w:tc>
          <w:tcPr>
            <w:tcW w:w="1696" w:type="dxa"/>
          </w:tcPr>
          <w:p w14:paraId="6D21329B" w14:textId="67F6C5F8" w:rsidR="000E1C3B" w:rsidRDefault="000E1C3B" w:rsidP="00043CC2">
            <w:pPr>
              <w:spacing w:line="23" w:lineRule="atLeast"/>
              <w:jc w:val="both"/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  <w:t>Recherche</w:t>
            </w:r>
          </w:p>
        </w:tc>
        <w:tc>
          <w:tcPr>
            <w:tcW w:w="7919" w:type="dxa"/>
          </w:tcPr>
          <w:p w14:paraId="29CF0D7A" w14:textId="77777777" w:rsidR="000E1C3B" w:rsidRDefault="000E1C3B" w:rsidP="00043CC2">
            <w:pPr>
              <w:spacing w:line="23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Empirical studies: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qualitative data with </w:t>
            </w:r>
            <w:proofErr w:type="spellStart"/>
            <w:r>
              <w:rPr>
                <w:lang w:val="en-US"/>
              </w:rPr>
              <w:t>Nvivo</w:t>
            </w:r>
            <w:proofErr w:type="spellEnd"/>
            <w:r>
              <w:rPr>
                <w:lang w:val="en-US"/>
              </w:rPr>
              <w:t xml:space="preserve"> (DBA)</w:t>
            </w:r>
          </w:p>
          <w:p w14:paraId="412B4A66" w14:textId="32210418" w:rsidR="000E1C3B" w:rsidRPr="000E1C3B" w:rsidRDefault="000E1C3B" w:rsidP="000E1C3B">
            <w:pPr>
              <w:spacing w:line="23" w:lineRule="atLeast"/>
              <w:jc w:val="both"/>
            </w:pPr>
            <w:r w:rsidRPr="000E1C3B">
              <w:t>Analyses processuelles</w:t>
            </w:r>
            <w:r>
              <w:t xml:space="preserve"> (DU Recherche)</w:t>
            </w:r>
          </w:p>
          <w:p w14:paraId="3F6C7795" w14:textId="07EE5BB0" w:rsidR="000E1C3B" w:rsidRPr="000E1C3B" w:rsidRDefault="000E1C3B" w:rsidP="000E1C3B">
            <w:pPr>
              <w:spacing w:line="23" w:lineRule="atLeast"/>
              <w:jc w:val="both"/>
            </w:pPr>
            <w:r w:rsidRPr="000E1C3B">
              <w:t>Etudes de cas et monographies</w:t>
            </w:r>
            <w:r>
              <w:t xml:space="preserve"> (DU Recherche)</w:t>
            </w:r>
          </w:p>
          <w:p w14:paraId="1ED01E99" w14:textId="1A9FA1C0" w:rsidR="000E1C3B" w:rsidRDefault="000E1C3B" w:rsidP="000E1C3B">
            <w:pPr>
              <w:spacing w:line="23" w:lineRule="atLeast"/>
              <w:jc w:val="both"/>
            </w:pPr>
            <w:r w:rsidRPr="000E1C3B">
              <w:t xml:space="preserve">Dernières avancées de la recherche en IB </w:t>
            </w:r>
            <w:r>
              <w:t>(Master Recherche)</w:t>
            </w:r>
          </w:p>
          <w:p w14:paraId="2D9F5441" w14:textId="481874D5" w:rsidR="000E1C3B" w:rsidRPr="000E1C3B" w:rsidRDefault="000E1C3B" w:rsidP="00043CC2">
            <w:pPr>
              <w:spacing w:line="23" w:lineRule="atLeast"/>
              <w:jc w:val="both"/>
              <w:rPr>
                <w:lang w:val="en-US"/>
              </w:rPr>
            </w:pPr>
            <w:r w:rsidRPr="000E1C3B">
              <w:rPr>
                <w:lang w:val="en-US"/>
              </w:rPr>
              <w:t xml:space="preserve">Preparation to research in IB </w:t>
            </w:r>
            <w:r>
              <w:rPr>
                <w:lang w:val="en-US"/>
              </w:rPr>
              <w:t>(master 1)</w:t>
            </w:r>
          </w:p>
        </w:tc>
      </w:tr>
      <w:tr w:rsidR="000E1C3B" w:rsidRPr="00C00DD7" w14:paraId="7A52ED55" w14:textId="77777777" w:rsidTr="000E1C3B">
        <w:trPr>
          <w:trHeight w:val="306"/>
        </w:trPr>
        <w:tc>
          <w:tcPr>
            <w:tcW w:w="1696" w:type="dxa"/>
          </w:tcPr>
          <w:p w14:paraId="4DA661F0" w14:textId="2B34448B" w:rsidR="000E1C3B" w:rsidRDefault="000E1C3B" w:rsidP="00043CC2">
            <w:pPr>
              <w:spacing w:line="23" w:lineRule="atLeast"/>
              <w:jc w:val="both"/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  <w:t>Master</w:t>
            </w:r>
          </w:p>
        </w:tc>
        <w:tc>
          <w:tcPr>
            <w:tcW w:w="7919" w:type="dxa"/>
          </w:tcPr>
          <w:p w14:paraId="566C5D70" w14:textId="5175A0DE" w:rsidR="000E1C3B" w:rsidRDefault="000E1C3B" w:rsidP="000E1C3B">
            <w:pPr>
              <w:spacing w:line="23" w:lineRule="atLeast"/>
              <w:jc w:val="both"/>
            </w:pPr>
            <w:proofErr w:type="spellStart"/>
            <w:r w:rsidRPr="000E1C3B">
              <w:t>Competitive</w:t>
            </w:r>
            <w:proofErr w:type="spellEnd"/>
            <w:r w:rsidRPr="000E1C3B">
              <w:t xml:space="preserve"> </w:t>
            </w:r>
            <w:proofErr w:type="spellStart"/>
            <w:r w:rsidRPr="000E1C3B">
              <w:t>Strategies</w:t>
            </w:r>
            <w:proofErr w:type="spellEnd"/>
            <w:r w:rsidRPr="000E1C3B">
              <w:t xml:space="preserve"> (International MBA) </w:t>
            </w:r>
          </w:p>
          <w:p w14:paraId="547E6E14" w14:textId="3719453C" w:rsidR="000E1C3B" w:rsidRDefault="000E1C3B" w:rsidP="000E1C3B">
            <w:pPr>
              <w:spacing w:line="23" w:lineRule="atLeast"/>
              <w:jc w:val="both"/>
            </w:pPr>
            <w:r>
              <w:t>Projet de Fin d’Etudes/Challenge (Master 2)</w:t>
            </w:r>
          </w:p>
          <w:p w14:paraId="6EAA8984" w14:textId="50B0A491" w:rsidR="000E1C3B" w:rsidRDefault="000E1C3B" w:rsidP="000E1C3B">
            <w:pPr>
              <w:spacing w:line="23" w:lineRule="atLeast"/>
              <w:jc w:val="both"/>
            </w:pPr>
            <w:r>
              <w:t>Commerce International (Master 2 – Délocalisé)</w:t>
            </w:r>
          </w:p>
          <w:p w14:paraId="2FD70268" w14:textId="24AFDA0F" w:rsidR="000E1C3B" w:rsidRDefault="000E1C3B" w:rsidP="00043CC2">
            <w:pPr>
              <w:spacing w:line="23" w:lineRule="atLeast"/>
              <w:jc w:val="both"/>
            </w:pPr>
            <w:r w:rsidRPr="000E1C3B">
              <w:t xml:space="preserve">Développement international des organisations </w:t>
            </w:r>
            <w:r>
              <w:t>(Master 1)</w:t>
            </w:r>
          </w:p>
          <w:p w14:paraId="094D2B99" w14:textId="08BEEB88" w:rsidR="00C00DD7" w:rsidRPr="00C00DD7" w:rsidRDefault="00C00DD7" w:rsidP="00043CC2">
            <w:pPr>
              <w:spacing w:line="23" w:lineRule="atLeast"/>
              <w:jc w:val="both"/>
              <w:rPr>
                <w:lang w:val="en-US"/>
              </w:rPr>
            </w:pPr>
            <w:r w:rsidRPr="00C00DD7">
              <w:rPr>
                <w:lang w:val="en-US"/>
              </w:rPr>
              <w:t>Preparation t</w:t>
            </w:r>
            <w:r>
              <w:rPr>
                <w:lang w:val="en-US"/>
              </w:rPr>
              <w:t>o Research (Master 1)</w:t>
            </w:r>
          </w:p>
          <w:p w14:paraId="030823FC" w14:textId="08B49AB0" w:rsidR="000E1C3B" w:rsidRPr="00C00DD7" w:rsidRDefault="000E1C3B" w:rsidP="00043CC2">
            <w:pPr>
              <w:spacing w:line="23" w:lineRule="atLeast"/>
              <w:jc w:val="both"/>
              <w:rPr>
                <w:lang w:val="en-US"/>
              </w:rPr>
            </w:pPr>
            <w:r w:rsidRPr="00C00DD7">
              <w:rPr>
                <w:lang w:val="en-US"/>
              </w:rPr>
              <w:t>Business Game (master 1)</w:t>
            </w:r>
          </w:p>
        </w:tc>
      </w:tr>
      <w:tr w:rsidR="000E1C3B" w:rsidRPr="00C00DD7" w14:paraId="33E9326F" w14:textId="77777777" w:rsidTr="000E1C3B">
        <w:trPr>
          <w:trHeight w:val="319"/>
        </w:trPr>
        <w:tc>
          <w:tcPr>
            <w:tcW w:w="1696" w:type="dxa"/>
          </w:tcPr>
          <w:p w14:paraId="5A67DC26" w14:textId="7ED60409" w:rsidR="000E1C3B" w:rsidRPr="000E1C3B" w:rsidRDefault="000E1C3B" w:rsidP="00043CC2">
            <w:pPr>
              <w:spacing w:line="23" w:lineRule="atLeast"/>
              <w:jc w:val="both"/>
              <w:rPr>
                <w:rFonts w:ascii="Calibri" w:hAnsi="Calibri"/>
                <w:b/>
                <w:color w:val="003366"/>
                <w:sz w:val="26"/>
                <w:szCs w:val="26"/>
              </w:rPr>
            </w:pPr>
            <w:r>
              <w:rPr>
                <w:rFonts w:ascii="Calibri" w:hAnsi="Calibri"/>
                <w:b/>
                <w:color w:val="003366"/>
                <w:sz w:val="26"/>
                <w:szCs w:val="26"/>
              </w:rPr>
              <w:t>Licence</w:t>
            </w:r>
          </w:p>
        </w:tc>
        <w:tc>
          <w:tcPr>
            <w:tcW w:w="7919" w:type="dxa"/>
          </w:tcPr>
          <w:p w14:paraId="3C2E5DAD" w14:textId="6FF11C56" w:rsidR="000E1C3B" w:rsidRDefault="000E1C3B" w:rsidP="000E1C3B">
            <w:pPr>
              <w:spacing w:line="23" w:lineRule="atLeast"/>
              <w:jc w:val="both"/>
            </w:pPr>
            <w:r>
              <w:t>Fondamentaux du Management International (Licence 3)</w:t>
            </w:r>
          </w:p>
          <w:p w14:paraId="39085AA4" w14:textId="447AEC12" w:rsidR="000E1C3B" w:rsidRPr="000E1C3B" w:rsidRDefault="000E1C3B" w:rsidP="000E1C3B">
            <w:pPr>
              <w:spacing w:line="23" w:lineRule="atLeast"/>
              <w:jc w:val="both"/>
              <w:rPr>
                <w:lang w:val="en-US"/>
              </w:rPr>
            </w:pPr>
            <w:r w:rsidRPr="000E1C3B">
              <w:rPr>
                <w:lang w:val="en-US"/>
              </w:rPr>
              <w:t>Business Poli</w:t>
            </w:r>
            <w:r>
              <w:rPr>
                <w:lang w:val="en-US"/>
              </w:rPr>
              <w:t>cy &amp; Strategy (Licence 3)</w:t>
            </w:r>
          </w:p>
          <w:p w14:paraId="5D758AD3" w14:textId="23239FB1" w:rsidR="000E1C3B" w:rsidRPr="000E1C3B" w:rsidRDefault="000E1C3B" w:rsidP="00043CC2">
            <w:pPr>
              <w:spacing w:line="23" w:lineRule="atLeast"/>
              <w:jc w:val="both"/>
              <w:rPr>
                <w:lang w:val="en-US"/>
              </w:rPr>
            </w:pPr>
            <w:r w:rsidRPr="000E1C3B">
              <w:rPr>
                <w:lang w:val="en-US"/>
              </w:rPr>
              <w:t>International Business (Licence 2)</w:t>
            </w:r>
          </w:p>
        </w:tc>
      </w:tr>
    </w:tbl>
    <w:p w14:paraId="0C464EC6" w14:textId="77777777" w:rsidR="00043CC2" w:rsidRPr="00B5559C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  <w:lang w:val="en-US"/>
        </w:rPr>
      </w:pPr>
    </w:p>
    <w:p w14:paraId="0048C3B9" w14:textId="77777777" w:rsidR="00043CC2" w:rsidRPr="00AE4491" w:rsidRDefault="00043CC2" w:rsidP="00043CC2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CENTRES D'INTERETS ACTUELS DE RECHERCHE</w:t>
      </w:r>
    </w:p>
    <w:p w14:paraId="02892FC2" w14:textId="77777777" w:rsidR="00043CC2" w:rsidRDefault="00043CC2" w:rsidP="00043CC2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Stratégies d’internationalisation</w:t>
      </w:r>
    </w:p>
    <w:p w14:paraId="63F9C4A5" w14:textId="77777777" w:rsidR="00043CC2" w:rsidRDefault="00043CC2" w:rsidP="00043CC2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Management stratégique</w:t>
      </w:r>
    </w:p>
    <w:p w14:paraId="7FF9EBBB" w14:textId="77777777" w:rsidR="00043CC2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Intégration des réfugiés</w:t>
      </w:r>
    </w:p>
    <w:p w14:paraId="31D5643D" w14:textId="77777777" w:rsidR="00043CC2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Réseaux d’affaires</w:t>
      </w:r>
    </w:p>
    <w:p w14:paraId="62734303" w14:textId="3C8AF3C3" w:rsidR="00043CC2" w:rsidRPr="00AE4491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</w:p>
    <w:p w14:paraId="7ADEB589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 OU EQUIPE DE RECHERCHE </w:t>
      </w:r>
    </w:p>
    <w:p w14:paraId="4CE734BE" w14:textId="77777777" w:rsidR="00043CC2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Laboratoire de Recherche Magellan </w:t>
      </w:r>
    </w:p>
    <w:p w14:paraId="5CDF2D1F" w14:textId="77777777" w:rsidR="00043CC2" w:rsidRPr="008C050F" w:rsidRDefault="00043CC2" w:rsidP="00043CC2">
      <w:pPr>
        <w:pStyle w:val="Paragraphedeliste"/>
        <w:numPr>
          <w:ilvl w:val="0"/>
          <w:numId w:val="21"/>
        </w:numPr>
        <w:spacing w:line="23" w:lineRule="atLeast"/>
        <w:jc w:val="both"/>
        <w:rPr>
          <w:rFonts w:ascii="Calibri" w:hAnsi="Calibri"/>
        </w:rPr>
      </w:pPr>
      <w:r w:rsidRPr="008C050F">
        <w:rPr>
          <w:rFonts w:ascii="Calibri" w:hAnsi="Calibri"/>
        </w:rPr>
        <w:t xml:space="preserve">Équipe transversale Management International </w:t>
      </w:r>
    </w:p>
    <w:p w14:paraId="78D2DEC4" w14:textId="77777777" w:rsidR="00043CC2" w:rsidRPr="008C050F" w:rsidRDefault="00043CC2" w:rsidP="00043CC2">
      <w:pPr>
        <w:pStyle w:val="Paragraphedeliste"/>
        <w:numPr>
          <w:ilvl w:val="0"/>
          <w:numId w:val="21"/>
        </w:num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8C050F">
        <w:rPr>
          <w:rFonts w:ascii="Calibri" w:hAnsi="Calibri"/>
        </w:rPr>
        <w:t>Groupe Thématique « Stratégie ».</w:t>
      </w:r>
    </w:p>
    <w:p w14:paraId="4CB9039B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70CC3BA1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/>
          <w:b/>
          <w:color w:val="003366"/>
          <w:sz w:val="24"/>
          <w:szCs w:val="24"/>
        </w:rPr>
        <w:t>ASSOCIATIONS ACADEMIQUES </w:t>
      </w:r>
    </w:p>
    <w:p w14:paraId="55DA7BCE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Atlas/AFMI (Association Francophone de Management International) – Comité Scientifique</w:t>
      </w:r>
    </w:p>
    <w:p w14:paraId="39CC6FB1" w14:textId="77777777" w:rsidR="00043CC2" w:rsidRPr="008C050F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  <w:lang w:val="en-US"/>
        </w:rPr>
      </w:pPr>
      <w:r w:rsidRPr="008C050F">
        <w:rPr>
          <w:rFonts w:ascii="Calibri" w:hAnsi="Calibri" w:cs="Tahoma"/>
          <w:sz w:val="24"/>
          <w:szCs w:val="24"/>
          <w:lang w:val="en-US"/>
        </w:rPr>
        <w:t xml:space="preserve">EIBA (European International Business Academy) - </w:t>
      </w:r>
      <w:proofErr w:type="spellStart"/>
      <w:r w:rsidRPr="008C050F">
        <w:rPr>
          <w:rFonts w:ascii="Calibri" w:hAnsi="Calibri" w:cs="Tahoma"/>
          <w:sz w:val="24"/>
          <w:szCs w:val="24"/>
          <w:lang w:val="en-US"/>
        </w:rPr>
        <w:t>Mem</w:t>
      </w:r>
      <w:r>
        <w:rPr>
          <w:rFonts w:ascii="Calibri" w:hAnsi="Calibri" w:cs="Tahoma"/>
          <w:sz w:val="24"/>
          <w:szCs w:val="24"/>
          <w:lang w:val="en-US"/>
        </w:rPr>
        <w:t>bre</w:t>
      </w:r>
      <w:proofErr w:type="spellEnd"/>
    </w:p>
    <w:p w14:paraId="725DEF01" w14:textId="77777777" w:rsidR="00043CC2" w:rsidRPr="008C050F" w:rsidRDefault="00043CC2" w:rsidP="00043CC2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  <w:lang w:val="en-US"/>
        </w:rPr>
      </w:pPr>
    </w:p>
    <w:p w14:paraId="18A6EFAE" w14:textId="77777777" w:rsidR="00043CC2" w:rsidRPr="003E702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3E702B">
        <w:rPr>
          <w:rFonts w:ascii="Calibri" w:hAnsi="Calibri"/>
          <w:b/>
          <w:color w:val="003366"/>
          <w:sz w:val="24"/>
          <w:szCs w:val="24"/>
        </w:rPr>
        <w:t>COMITES DE LECTURE / COMITES EDITORIAUX</w:t>
      </w:r>
    </w:p>
    <w:p w14:paraId="5745927E" w14:textId="77777777" w:rsidR="00043CC2" w:rsidRPr="00B11E4F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proofErr w:type="spellStart"/>
      <w:r w:rsidRPr="00B11E4F">
        <w:rPr>
          <w:rFonts w:ascii="Calibri" w:hAnsi="Calibri" w:cs="Tahoma"/>
          <w:sz w:val="24"/>
          <w:szCs w:val="24"/>
        </w:rPr>
        <w:t>European</w:t>
      </w:r>
      <w:proofErr w:type="spellEnd"/>
      <w:r w:rsidRPr="00B11E4F">
        <w:rPr>
          <w:rFonts w:ascii="Calibri" w:hAnsi="Calibri" w:cs="Tahoma"/>
          <w:sz w:val="24"/>
          <w:szCs w:val="24"/>
        </w:rPr>
        <w:t xml:space="preserve"> Journal of International Management (EJIM) - </w:t>
      </w:r>
      <w:proofErr w:type="spellStart"/>
      <w:r w:rsidRPr="00B11E4F">
        <w:rPr>
          <w:rFonts w:ascii="Calibri" w:hAnsi="Calibri" w:cs="Tahoma"/>
          <w:sz w:val="24"/>
          <w:szCs w:val="24"/>
        </w:rPr>
        <w:t>Reviewer</w:t>
      </w:r>
      <w:proofErr w:type="spellEnd"/>
    </w:p>
    <w:p w14:paraId="2311D307" w14:textId="77777777" w:rsidR="00043CC2" w:rsidRPr="00F57576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F57576">
        <w:rPr>
          <w:rFonts w:ascii="Calibri" w:hAnsi="Calibri" w:cs="Tahoma"/>
          <w:sz w:val="24"/>
          <w:szCs w:val="24"/>
        </w:rPr>
        <w:t xml:space="preserve">Finance Contrôle Stratégie - </w:t>
      </w:r>
      <w:proofErr w:type="spellStart"/>
      <w:r w:rsidRPr="00F57576">
        <w:rPr>
          <w:rFonts w:ascii="Calibri" w:hAnsi="Calibri" w:cs="Tahoma"/>
          <w:sz w:val="24"/>
          <w:szCs w:val="24"/>
        </w:rPr>
        <w:t>Reviewer</w:t>
      </w:r>
      <w:proofErr w:type="spellEnd"/>
    </w:p>
    <w:p w14:paraId="7DD9728E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  <w:lang w:val="en-US"/>
        </w:rPr>
      </w:pPr>
      <w:r w:rsidRPr="00F57576">
        <w:rPr>
          <w:rFonts w:ascii="Calibri" w:hAnsi="Calibri" w:cs="Tahoma"/>
          <w:sz w:val="24"/>
          <w:szCs w:val="24"/>
          <w:lang w:val="en-US"/>
        </w:rPr>
        <w:t>International Business Review – Reviewer</w:t>
      </w:r>
    </w:p>
    <w:p w14:paraId="1A0CA893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  <w:lang w:val="en-US"/>
        </w:rPr>
      </w:pPr>
      <w:proofErr w:type="spellStart"/>
      <w:r>
        <w:rPr>
          <w:rFonts w:ascii="Calibri" w:hAnsi="Calibri" w:cs="Tahoma"/>
          <w:sz w:val="24"/>
          <w:szCs w:val="24"/>
          <w:lang w:val="en-US"/>
        </w:rPr>
        <w:t>M@n@gement</w:t>
      </w:r>
      <w:proofErr w:type="spellEnd"/>
      <w:r>
        <w:rPr>
          <w:rFonts w:ascii="Calibri" w:hAnsi="Calibri" w:cs="Tahoma"/>
          <w:sz w:val="24"/>
          <w:szCs w:val="24"/>
          <w:lang w:val="en-US"/>
        </w:rPr>
        <w:t xml:space="preserve"> - Reviewer</w:t>
      </w:r>
    </w:p>
    <w:p w14:paraId="72ABD3F5" w14:textId="77777777" w:rsidR="00043CC2" w:rsidRPr="00B11E4F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B11E4F">
        <w:rPr>
          <w:rFonts w:ascii="Calibri" w:hAnsi="Calibri" w:cs="Tahoma"/>
          <w:sz w:val="24"/>
          <w:szCs w:val="24"/>
        </w:rPr>
        <w:t xml:space="preserve">Management International - </w:t>
      </w:r>
      <w:proofErr w:type="spellStart"/>
      <w:r w:rsidRPr="00B11E4F">
        <w:rPr>
          <w:rFonts w:ascii="Calibri" w:hAnsi="Calibri" w:cs="Tahoma"/>
          <w:sz w:val="24"/>
          <w:szCs w:val="24"/>
        </w:rPr>
        <w:t>Reviewer</w:t>
      </w:r>
      <w:proofErr w:type="spellEnd"/>
    </w:p>
    <w:p w14:paraId="44EF65ED" w14:textId="77777777" w:rsidR="00043CC2" w:rsidRPr="003E6ED8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F57576">
        <w:rPr>
          <w:rFonts w:ascii="Calibri" w:hAnsi="Calibri" w:cs="Tahoma"/>
          <w:sz w:val="24"/>
          <w:szCs w:val="24"/>
        </w:rPr>
        <w:lastRenderedPageBreak/>
        <w:t xml:space="preserve">Revue Internationale PME – </w:t>
      </w:r>
      <w:proofErr w:type="spellStart"/>
      <w:r w:rsidRPr="00F57576">
        <w:rPr>
          <w:rFonts w:ascii="Calibri" w:hAnsi="Calibri" w:cs="Tahoma"/>
          <w:sz w:val="24"/>
          <w:szCs w:val="24"/>
        </w:rPr>
        <w:t>Reviewer</w:t>
      </w:r>
      <w:proofErr w:type="spellEnd"/>
    </w:p>
    <w:p w14:paraId="2F25FBC2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23BDB855" w14:textId="77777777" w:rsidR="000E1C3B" w:rsidRPr="00F57576" w:rsidRDefault="000E1C3B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5F37FFF7" w14:textId="77777777" w:rsidR="00043CC2" w:rsidRPr="00B4034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B4034B">
        <w:rPr>
          <w:rFonts w:ascii="Calibri" w:hAnsi="Calibri"/>
          <w:b/>
          <w:color w:val="003366"/>
          <w:sz w:val="24"/>
          <w:szCs w:val="24"/>
        </w:rPr>
        <w:t xml:space="preserve">DIRECTION DE THESES ET HDR </w:t>
      </w:r>
    </w:p>
    <w:p w14:paraId="0263934E" w14:textId="77777777" w:rsidR="00043CC2" w:rsidRPr="00B4034B" w:rsidRDefault="00043CC2" w:rsidP="00043CC2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de thèses en cours</w:t>
      </w:r>
    </w:p>
    <w:p w14:paraId="065F6D77" w14:textId="25CEBD6E" w:rsidR="00C00DD7" w:rsidRPr="00C00DD7" w:rsidRDefault="00C00DD7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noProof/>
          <w:sz w:val="24"/>
          <w:szCs w:val="24"/>
          <w:lang w:val="en-US"/>
        </w:rPr>
      </w:pPr>
      <w:r w:rsidRPr="00C00DD7">
        <w:rPr>
          <w:rFonts w:ascii="Calibri" w:hAnsi="Calibri"/>
          <w:noProof/>
          <w:sz w:val="24"/>
          <w:szCs w:val="24"/>
          <w:lang w:val="en-US"/>
        </w:rPr>
        <w:t>AZIZ-ALAOUI Meryem – « How d</w:t>
      </w:r>
      <w:r>
        <w:rPr>
          <w:rFonts w:ascii="Calibri" w:hAnsi="Calibri"/>
          <w:noProof/>
          <w:sz w:val="24"/>
          <w:szCs w:val="24"/>
          <w:lang w:val="en-US"/>
        </w:rPr>
        <w:t>o informal institutions shape entrepreneurial dynamics in the MENA region?” – thèse débutée le 1er septembre 2024</w:t>
      </w:r>
    </w:p>
    <w:p w14:paraId="4116D261" w14:textId="1F5E794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 xml:space="preserve">CASCANT Eunice – “How is the international entrepreneurial orientation built among female migrants?”, (co-direction avec Catherine MERCIER-SUISSA) – these débutée en janvier 2021 </w:t>
      </w:r>
    </w:p>
    <w:p w14:paraId="2391B22D" w14:textId="7777777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MICHAL Manon – « Processus d’institutionnalisation de la déviance positive par les middle managers : perspective interactionniste » (co-direction avec Caroline HUSSLER) – thèse débutée en octobre 2020</w:t>
      </w:r>
    </w:p>
    <w:p w14:paraId="276D3826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14:paraId="240FCE71" w14:textId="77777777" w:rsidR="00043CC2" w:rsidRPr="00457826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LANGUES ETRANGERES PARLEES</w:t>
      </w:r>
    </w:p>
    <w:p w14:paraId="0D6F8737" w14:textId="77777777" w:rsidR="00043CC2" w:rsidRPr="00AE4491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Anglais (bilingue)</w:t>
      </w:r>
    </w:p>
    <w:p w14:paraId="0AA30B5F" w14:textId="7777777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Italien (parlé courant)</w:t>
      </w:r>
    </w:p>
    <w:p w14:paraId="2BF7EC71" w14:textId="7777777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Espagnol (intermédiaire)</w:t>
      </w:r>
    </w:p>
    <w:p w14:paraId="613675FA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0158EA3D" w14:textId="77777777" w:rsidR="00043CC2" w:rsidRPr="00F57576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 xml:space="preserve">SEJOURS </w:t>
      </w:r>
      <w:r>
        <w:rPr>
          <w:rFonts w:ascii="Calibri" w:hAnsi="Calibri"/>
          <w:b/>
          <w:color w:val="003366"/>
          <w:sz w:val="26"/>
          <w:szCs w:val="26"/>
        </w:rPr>
        <w:t>DE RECHERCHE</w:t>
      </w:r>
      <w:r w:rsidRPr="00B4034B">
        <w:rPr>
          <w:rFonts w:ascii="Calibri" w:hAnsi="Calibri"/>
          <w:b/>
          <w:color w:val="003366"/>
          <w:sz w:val="26"/>
          <w:szCs w:val="26"/>
        </w:rPr>
        <w:t xml:space="preserve"> A L’ETRANGER</w:t>
      </w:r>
    </w:p>
    <w:p w14:paraId="4B1EE7A6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2018 : Università di Pavia (Italie) – Animation d’un séminaire de recherche sur les réseaux de PME exportatrices, (en collaboration avec Ulrike Mayrhofer), sur invitation du Pr. Antonella Zucchella, 12 mars</w:t>
      </w:r>
    </w:p>
    <w:p w14:paraId="7BA99BB3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2017 : Università di Pavia (Italie) – Animation d’un séminaire de recherche sur les stratégies d’internationalisation des PME, (en collaboration avec Ulrike Mayrhofer), sur invitation du Pr. Antonella Zucchella, 2 avril</w:t>
      </w:r>
    </w:p>
    <w:p w14:paraId="34C729E0" w14:textId="77777777" w:rsidR="00043CC2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2017 : Tongji University (Chine) – Animation d’un séminaire de recherche sur les stratégies d’internationalisation des PME, (en collaboration avec Ulrike Mayrhofer), sur invitation du Pr. Christiane Prange, 8 mars</w:t>
      </w:r>
    </w:p>
    <w:p w14:paraId="579E35FD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  <w:lang w:val="en-US"/>
        </w:rPr>
        <w:t xml:space="preserve">2014: Baruch College - Weissman Center for international business, City University of New York, sur invitation des Pr. </w:t>
      </w:r>
      <w:r w:rsidRPr="00F57576">
        <w:rPr>
          <w:rFonts w:ascii="Calibri" w:hAnsi="Calibri"/>
          <w:noProof/>
          <w:sz w:val="24"/>
          <w:szCs w:val="24"/>
        </w:rPr>
        <w:t>Terence Martell et Richard Mitten (un mois)</w:t>
      </w:r>
    </w:p>
    <w:p w14:paraId="6B8A0CEA" w14:textId="77777777" w:rsidR="00043CC2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2013 : Université du Québec à Montréal (UQAM), sur invitation du Pr. Jorge Niosi (six mois)</w:t>
      </w:r>
    </w:p>
    <w:p w14:paraId="2A1E5D54" w14:textId="77777777" w:rsidR="00043CC2" w:rsidRDefault="00043CC2" w:rsidP="00043CC2">
      <w:pPr>
        <w:spacing w:line="276" w:lineRule="auto"/>
        <w:ind w:left="360"/>
        <w:jc w:val="both"/>
        <w:rPr>
          <w:rFonts w:ascii="Calibri" w:hAnsi="Calibri"/>
          <w:noProof/>
          <w:sz w:val="24"/>
          <w:szCs w:val="24"/>
        </w:rPr>
      </w:pPr>
    </w:p>
    <w:p w14:paraId="69EF1DC7" w14:textId="77777777" w:rsidR="00043CC2" w:rsidRPr="00F57576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F57576">
        <w:rPr>
          <w:rFonts w:ascii="Calibri" w:hAnsi="Calibri"/>
          <w:b/>
          <w:color w:val="003366"/>
          <w:sz w:val="26"/>
          <w:szCs w:val="26"/>
        </w:rPr>
        <w:t>MISSIONS PEDAGOGIQUES A L’ETRANGER</w:t>
      </w:r>
    </w:p>
    <w:p w14:paraId="15565953" w14:textId="77777777" w:rsidR="00043CC2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2021 :</w:t>
      </w:r>
      <w:r w:rsidRPr="00467790">
        <w:rPr>
          <w:rFonts w:ascii="Calibri" w:hAnsi="Calibri"/>
          <w:noProof/>
          <w:sz w:val="24"/>
          <w:szCs w:val="24"/>
        </w:rPr>
        <w:t xml:space="preserve"> </w:t>
      </w:r>
      <w:r w:rsidRPr="00F57576">
        <w:rPr>
          <w:rFonts w:ascii="Calibri" w:hAnsi="Calibri"/>
          <w:noProof/>
          <w:sz w:val="24"/>
          <w:szCs w:val="24"/>
        </w:rPr>
        <w:t xml:space="preserve">Séminaire de commerce international (Master), University of Economics and Technical Sciences, Budapest (Hongrie), </w:t>
      </w:r>
      <w:r>
        <w:rPr>
          <w:rFonts w:ascii="Calibri" w:hAnsi="Calibri"/>
          <w:noProof/>
          <w:sz w:val="24"/>
          <w:szCs w:val="24"/>
        </w:rPr>
        <w:t>14</w:t>
      </w:r>
      <w:r w:rsidRPr="00F57576">
        <w:rPr>
          <w:rFonts w:ascii="Calibri" w:hAnsi="Calibri"/>
          <w:noProof/>
          <w:sz w:val="24"/>
          <w:szCs w:val="24"/>
        </w:rPr>
        <w:t xml:space="preserve"> - </w:t>
      </w:r>
      <w:r>
        <w:rPr>
          <w:rFonts w:ascii="Calibri" w:hAnsi="Calibri"/>
          <w:noProof/>
          <w:sz w:val="24"/>
          <w:szCs w:val="24"/>
        </w:rPr>
        <w:t>16</w:t>
      </w:r>
      <w:r w:rsidRPr="00F57576">
        <w:rPr>
          <w:rFonts w:ascii="Calibri" w:hAnsi="Calibri"/>
          <w:noProof/>
          <w:sz w:val="24"/>
          <w:szCs w:val="24"/>
        </w:rPr>
        <w:t xml:space="preserve"> </w:t>
      </w:r>
      <w:r>
        <w:rPr>
          <w:rFonts w:ascii="Calibri" w:hAnsi="Calibri"/>
          <w:noProof/>
          <w:sz w:val="24"/>
          <w:szCs w:val="24"/>
        </w:rPr>
        <w:t>octobre</w:t>
      </w:r>
    </w:p>
    <w:p w14:paraId="2CAD8C8F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2020 : Séminaire de commerce international (Master), University of Economics and Technical Sciences, Budapest (Hongrie), 30 janvier - 2 février</w:t>
      </w:r>
    </w:p>
    <w:p w14:paraId="18F627C3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2020 : Séminaire intensif portant sur les stratégies d’internationalisation des PME (International MBA) – Saman Bank / FNEGE (Iran), 8 – 13 janvier</w:t>
      </w:r>
    </w:p>
    <w:p w14:paraId="36602734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2018 : Séminaire de commerce international (Master), University of Economics and Technical Sciences, Budapest (Hongrie), 4 – 7 avril</w:t>
      </w:r>
    </w:p>
    <w:p w14:paraId="21CCB4AF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2018 : Séminaire intensif portant sur les stratégies d’internationalisation des PME (International MBA) et les stratégies de publication (post-DBA), Industrial Management Institute of Tehran (Iran), 17 – 21 février</w:t>
      </w:r>
    </w:p>
    <w:p w14:paraId="453C594B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lastRenderedPageBreak/>
        <w:t>2018 : Séminaire methodologique (International MBA), Jiao Tong University Shanghai (Chine), 19 – 21 janvier</w:t>
      </w:r>
    </w:p>
    <w:p w14:paraId="373A632B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2017 : Séminaire portant sur les stratégies d’internationalisation des entreprises (Master), Università di Pavia (Italie), 3 avril (en collaboration avec Ulrike Mayrhofer)</w:t>
      </w:r>
    </w:p>
    <w:p w14:paraId="55FB490E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 xml:space="preserve">2017 : Séminaire intensif portant sur les stratégies d’internationalisation des PME (post-DBA), Industrial Management Institute of Tehran (Iran), 30 janvier – 2 février </w:t>
      </w:r>
    </w:p>
    <w:p w14:paraId="242E6F29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2016 : Séminaire de commerce international (Master), University of Economics and Technical Sciences, Budapest (Hongrie), 18-20 mars</w:t>
      </w:r>
    </w:p>
    <w:p w14:paraId="246B3FE7" w14:textId="77777777" w:rsidR="00043CC2" w:rsidRPr="00B4034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417F49C0" w14:textId="77777777" w:rsidR="00043CC2" w:rsidRPr="00B4034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>DISTINCTIONS</w:t>
      </w:r>
    </w:p>
    <w:p w14:paraId="4B3D1381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 xml:space="preserve">2020 : Prix Atlas/AFMI de la meilleure étude de cas en Management International pour le cas </w:t>
      </w:r>
      <w:r>
        <w:rPr>
          <w:rFonts w:ascii="Calibri" w:hAnsi="Calibri"/>
          <w:noProof/>
          <w:sz w:val="24"/>
          <w:szCs w:val="24"/>
        </w:rPr>
        <w:t>« </w:t>
      </w:r>
      <w:r w:rsidRPr="007B09D5">
        <w:rPr>
          <w:rFonts w:ascii="Calibri" w:hAnsi="Calibri"/>
          <w:noProof/>
          <w:sz w:val="24"/>
          <w:szCs w:val="24"/>
        </w:rPr>
        <w:t>DWYT : le temps de l’internationalisation » (co-écrit avec Tristan Salvadori) –décerné par la Centrale des Cas et des Médias Pédagogiques- CCI Paris.</w:t>
      </w:r>
    </w:p>
    <w:p w14:paraId="01222405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>2019 : Prix d’excellence pour l’écriture d’études de cas en management international, décerné par les Universités de Cambridge et de Kent pour le cas « Mixel Agitators, a French SME expanding into China » (co-écrit avec Ulrike Mayrhofer)</w:t>
      </w:r>
    </w:p>
    <w:p w14:paraId="15CC735D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>2016 : Prix de thèse en Sciences de Gestion de l’Université Jean Moulin Lyon 3</w:t>
      </w:r>
    </w:p>
    <w:p w14:paraId="5F727C51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>2013 : Prix Atlas/AFMI de la meilleure étude de cas en Management International pour le cas « SLAT, une PME tournée vers l’international » (co-écrit avec Ulrike Mayrhofer) - décerné par la Centrale des Cas et des Médias Pédagogiques- CCI Paris.</w:t>
      </w:r>
    </w:p>
    <w:p w14:paraId="46182A58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281D5E51" w14:textId="77777777" w:rsidR="00043CC2" w:rsidRPr="00EA2DD0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t>PRODUCTION ACADEMIQUE</w:t>
      </w:r>
    </w:p>
    <w:p w14:paraId="09B815EE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Ouvrages </w:t>
      </w:r>
    </w:p>
    <w:p w14:paraId="762E1064" w14:textId="77777777" w:rsidR="00043CC2" w:rsidRPr="00EA2DD0" w:rsidRDefault="00043CC2" w:rsidP="00043CC2">
      <w:pPr>
        <w:pStyle w:val="Normal1"/>
        <w:numPr>
          <w:ilvl w:val="0"/>
          <w:numId w:val="14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(2018),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Key success factors of SME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internationalisation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: A cross-country perspective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Bingley: Emerald Publishing </w:t>
      </w:r>
    </w:p>
    <w:p w14:paraId="6037D0BA" w14:textId="77777777" w:rsidR="00043CC2" w:rsidRPr="00EA2DD0" w:rsidRDefault="00043CC2" w:rsidP="00043CC2">
      <w:pPr>
        <w:pStyle w:val="Normal1"/>
        <w:numPr>
          <w:ilvl w:val="0"/>
          <w:numId w:val="14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(2018),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SMEs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’ Internationalisation </w:t>
      </w:r>
      <w:proofErr w:type="spellStart"/>
      <w:proofErr w:type="gram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strategies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:</w:t>
      </w:r>
      <w:proofErr w:type="gram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Innovate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to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conquier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new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London : ISTE Editions (publication de la thèse en anglais)</w:t>
      </w:r>
    </w:p>
    <w:p w14:paraId="74869566" w14:textId="75805E5A" w:rsidR="00043CC2" w:rsidRPr="004D0A8A" w:rsidRDefault="00043CC2" w:rsidP="004D0A8A">
      <w:pPr>
        <w:pStyle w:val="Normal1"/>
        <w:numPr>
          <w:ilvl w:val="0"/>
          <w:numId w:val="14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(2017),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Nouvelles Stratégies d’Internationalisation des PME : Innover pour conquérir de nouveaux marchés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Londres : ISTE Editions, coll. Innovation, Entrepreneuriat et Gestion (publication de la thèse)</w:t>
      </w:r>
    </w:p>
    <w:p w14:paraId="6A1E6F80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Articles publiés dans des revues à comité de lecture </w:t>
      </w:r>
    </w:p>
    <w:p w14:paraId="1E6D4846" w14:textId="428F43A7" w:rsidR="00C00DD7" w:rsidRPr="00C00DD7" w:rsidRDefault="00C00DD7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val="en-US" w:eastAsia="en-US"/>
        </w:rPr>
      </w:pPr>
      <w:r w:rsidRPr="00C00DD7">
        <w:rPr>
          <w:rFonts w:asciiTheme="minorHAnsi" w:eastAsiaTheme="minorHAnsi" w:hAnsiTheme="minorHAnsi" w:cstheme="minorHAnsi"/>
          <w:szCs w:val="24"/>
          <w:lang w:eastAsia="en-US"/>
        </w:rPr>
        <w:t xml:space="preserve">Dominguez, N., Mercier-Suissa, C., Ottaviano, N., &amp; </w:t>
      </w:r>
      <w:proofErr w:type="spellStart"/>
      <w:r w:rsidRPr="00C00DD7">
        <w:rPr>
          <w:rFonts w:asciiTheme="minorHAnsi" w:eastAsiaTheme="minorHAnsi" w:hAnsiTheme="minorHAnsi" w:cstheme="minorHAnsi"/>
          <w:szCs w:val="24"/>
          <w:lang w:eastAsia="en-US"/>
        </w:rPr>
        <w:t>Cascant</w:t>
      </w:r>
      <w:proofErr w:type="spellEnd"/>
      <w:r w:rsidRPr="00C00DD7">
        <w:rPr>
          <w:rFonts w:asciiTheme="minorHAnsi" w:eastAsiaTheme="minorHAnsi" w:hAnsiTheme="minorHAnsi" w:cstheme="minorHAnsi"/>
          <w:szCs w:val="24"/>
          <w:lang w:eastAsia="en-US"/>
        </w:rPr>
        <w:t xml:space="preserve">, E. (2024). </w:t>
      </w:r>
      <w:r w:rsidRPr="00C00DD7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Participatory projects and their impact on immigrants’ integration in France: empowering by doing. </w:t>
      </w:r>
      <w:r w:rsidRPr="00C00DD7">
        <w:rPr>
          <w:rFonts w:asciiTheme="minorHAnsi" w:eastAsiaTheme="minorHAnsi" w:hAnsiTheme="minorHAnsi" w:cstheme="minorHAnsi"/>
          <w:i/>
          <w:szCs w:val="24"/>
          <w:lang w:val="en-US" w:eastAsia="en-US"/>
        </w:rPr>
        <w:t>Management international, 28</w:t>
      </w:r>
      <w:r w:rsidRPr="00C00DD7">
        <w:rPr>
          <w:rFonts w:asciiTheme="minorHAnsi" w:eastAsiaTheme="minorHAnsi" w:hAnsiTheme="minorHAnsi" w:cstheme="minorHAnsi"/>
          <w:szCs w:val="24"/>
          <w:lang w:val="en-US" w:eastAsia="en-US"/>
        </w:rPr>
        <w:t>(5), 110-121.</w:t>
      </w:r>
    </w:p>
    <w:p w14:paraId="29902372" w14:textId="0745DE49" w:rsidR="00A4740F" w:rsidRDefault="00A4740F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val="en-US" w:eastAsia="en-US"/>
        </w:rPr>
      </w:pPr>
      <w:r w:rsidRPr="00A4740F">
        <w:rPr>
          <w:rFonts w:asciiTheme="minorHAnsi" w:eastAsiaTheme="minorHAnsi" w:hAnsiTheme="minorHAnsi" w:cstheme="minorHAnsi"/>
          <w:szCs w:val="24"/>
          <w:lang w:eastAsia="en-US"/>
        </w:rPr>
        <w:t xml:space="preserve">Walther, M., Mayrhofer, U. et Dominguez, N. (2024). </w:t>
      </w: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How do German and French expatriates develop social </w:t>
      </w:r>
      <w:proofErr w:type="gramStart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>networks?</w:t>
      </w:r>
      <w:r>
        <w:rPr>
          <w:rFonts w:asciiTheme="minorHAnsi" w:eastAsiaTheme="minorHAnsi" w:hAnsiTheme="minorHAnsi" w:cstheme="minorHAnsi"/>
          <w:szCs w:val="24"/>
          <w:lang w:val="en-US" w:eastAsia="en-US"/>
        </w:rPr>
        <w:t>.</w:t>
      </w:r>
      <w:proofErr w:type="gramEnd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Career Development International, 29</w:t>
      </w:r>
      <w:r>
        <w:rPr>
          <w:rFonts w:asciiTheme="minorHAnsi" w:eastAsiaTheme="minorHAnsi" w:hAnsiTheme="minorHAnsi" w:cstheme="minorHAnsi"/>
          <w:szCs w:val="24"/>
          <w:lang w:val="en-US" w:eastAsia="en-US"/>
        </w:rPr>
        <w:t>(1),</w:t>
      </w: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 155-168.</w:t>
      </w:r>
    </w:p>
    <w:p w14:paraId="2CA86EAC" w14:textId="17AAB2E9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Dominguez, N. (2020), Why do western SMEs internationalize through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springboarding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? Evidence from French manufacturing SMEs.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Transnational Corporations Journal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, 27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, 87-113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.</w:t>
      </w:r>
    </w:p>
    <w:p w14:paraId="54AA88E9" w14:textId="01F1126A" w:rsidR="00043CC2" w:rsidRPr="00EA2DD0" w:rsidRDefault="00043CC2" w:rsidP="00043CC2">
      <w:pPr>
        <w:pStyle w:val="C1"/>
        <w:numPr>
          <w:ilvl w:val="0"/>
          <w:numId w:val="15"/>
        </w:numPr>
        <w:ind w:left="714" w:hanging="357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lastRenderedPageBreak/>
        <w:t>Dominguez, N., Mayrhofer, U. et Obadia, C. (2020)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 Internationalisation des PME : le rôle du partage d’information dans les réseaux,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Internationale PME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33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13-40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2D5336FA" w14:textId="185C174B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Chalençon, L., Dominguez, N., et Mayrhofer, U. (2019)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Comment réussir les étapes de mise en œuvre d’une </w:t>
      </w:r>
      <w:proofErr w:type="gram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acquisition ?.</w:t>
      </w:r>
      <w:proofErr w:type="gram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Management &amp; Avenir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8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114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15-41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6C70D09C" w14:textId="5BBD2199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>Dominguez, N. (2018)</w:t>
      </w:r>
      <w:r w:rsidR="00A4740F"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. </w:t>
      </w: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Promotion agencies and SMEs’ internationalization process: A blessing or a </w:t>
      </w:r>
      <w:proofErr w:type="gramStart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>curse ?</w:t>
      </w:r>
      <w:proofErr w:type="gramEnd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 xml:space="preserve">Journal of International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Entrepreneurship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16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58-81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3EFFEEED" w14:textId="1EC31D83" w:rsidR="00043CC2" w:rsidRPr="00EA2DD0" w:rsidRDefault="00043CC2" w:rsidP="00043CC2">
      <w:pPr>
        <w:pStyle w:val="C1"/>
        <w:numPr>
          <w:ilvl w:val="0"/>
          <w:numId w:val="15"/>
        </w:numPr>
        <w:ind w:left="714" w:hanging="357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 (2018)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Les réseaux d’affaires : moteurs ou freins de l'internationalisation des PME en </w:t>
      </w:r>
      <w:proofErr w:type="gram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Chine ?.</w:t>
      </w:r>
      <w:proofErr w:type="gram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Management International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22, 99-112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7B7DD67B" w14:textId="57B97A6A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val="en-US" w:eastAsia="en-US"/>
        </w:rPr>
      </w:pPr>
      <w:r w:rsidRPr="00A4740F">
        <w:rPr>
          <w:rFonts w:asciiTheme="minorHAnsi" w:eastAsiaTheme="minorHAnsi" w:hAnsiTheme="minorHAnsi" w:cstheme="minorHAnsi"/>
          <w:szCs w:val="24"/>
          <w:lang w:eastAsia="en-US"/>
        </w:rPr>
        <w:t>Dominguez, N., et Mayrhofer, U. (2017)</w:t>
      </w:r>
      <w:r w:rsidR="00A4740F" w:rsidRP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Internationalization stages of traditional SMEs: Increasing, decreasing and re-increasing commitment to foreign markets.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International Business Review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26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6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, 1051-1063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.</w:t>
      </w:r>
    </w:p>
    <w:p w14:paraId="259A2B77" w14:textId="73EB08F5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N., Mayrhofer, U., et Obadia, C. (2017)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Les antécédents de l'échange d'information dans les réseaux d'entreprises exportatrices. </w:t>
      </w:r>
      <w:proofErr w:type="spellStart"/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M@n@gement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>, 20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5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463-491.</w:t>
      </w:r>
    </w:p>
    <w:p w14:paraId="26823499" w14:textId="18E12480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 (2016)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Internationalisation des PME : une expansion non-linéaire, entre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désinternationalisation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et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réinternationalisation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Management International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20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62-77.</w:t>
      </w:r>
    </w:p>
    <w:p w14:paraId="6C28862E" w14:textId="7EEE38D5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 (2016)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Les stratégies tête-de-pont : un outil efficace de gestion des risques et d'accélération du développement international des </w:t>
      </w:r>
      <w:proofErr w:type="gram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PME ?.</w:t>
      </w:r>
      <w:proofErr w:type="gram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internationale PME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29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3-4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),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109-134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69B0802E" w14:textId="23E6121F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N., et Mayrhofer, U. (2016)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‘Il n'est jamais trop tard pour entreprendre’ : l’internationalisation des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born-again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globals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de l'Entrepreneuriat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15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61-80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33324D16" w14:textId="012D4E07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N., et Mercier-Suissa, C. (2015)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 Investir dans un pays tremplin L'implantation d'une PME française en Finlande pour aborder la Russie.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d'études comparatives Est-Ouest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46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3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183-210.</w:t>
      </w:r>
    </w:p>
    <w:p w14:paraId="2BC41FCF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Contributions à des ouvrages collectifs</w:t>
      </w:r>
    </w:p>
    <w:p w14:paraId="67EEEA39" w14:textId="77777777" w:rsidR="00D546EE" w:rsidRDefault="00D546EE" w:rsidP="00D546EE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Dominguez, N. (2023), "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Panafrica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Meeting the SDGs Through a Circular Business Model",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Ghauri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P.N.,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Elg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U. and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Hånell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S.M. (Ed.)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Creating a Sustainable Competitive Position: Ethical Challenges for International Firms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(International Business and Management, Vol. 37), Emerald Publishing Limited, Leeds, pp. 179-195.</w:t>
      </w:r>
    </w:p>
    <w:p w14:paraId="2FDEE102" w14:textId="4BF743C0" w:rsidR="00D546EE" w:rsidRPr="00D546EE" w:rsidRDefault="00D546EE" w:rsidP="00D546EE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(2021), « How Do SMEs Face Institutional Challenges in China? », Verbeke, A., van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Tulder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R., Rose, E.L. et Wei, Y. (Eds.),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The Multiple Dimensions of Institutional Complexity in International Business Research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Progress in International Business Research (Vol. 15), Emerald Publishing Limited, pp. 287-296.</w:t>
      </w:r>
    </w:p>
    <w:p w14:paraId="03E8AF40" w14:textId="3750E825" w:rsidR="00F17B0F" w:rsidRPr="00D546EE" w:rsidRDefault="00D546EE" w:rsidP="00D546EE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et Mayrhofer, U. (2021). 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« 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Mixel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Agitators, a French SME expanding into China », dans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Czinkota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M.R.,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Ronkainen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I.A. et Gupta, S. (Eds.),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International Business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9</w:t>
      </w:r>
      <w:r w:rsidRPr="00D546EE">
        <w:rPr>
          <w:rFonts w:asciiTheme="minorHAnsi" w:eastAsiaTheme="minorHAnsi" w:hAnsiTheme="minorHAnsi" w:cstheme="minorHAnsi"/>
          <w:sz w:val="24"/>
          <w:szCs w:val="24"/>
          <w:vertAlign w:val="superscript"/>
          <w:lang w:val="en-US" w:eastAsia="en-US"/>
        </w:rPr>
        <w:t>ème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éd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., Cambridge University Press, pp.446-454.</w:t>
      </w:r>
    </w:p>
    <w:p w14:paraId="1E05015F" w14:textId="189414A5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et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Mayrhofer, U. (2019),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 French start-up in Japan and South Korea, dans </w:t>
      </w:r>
      <w:proofErr w:type="spellStart"/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Prange,C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Kattenbach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C. (sous la dir.), Management Practices in Asia: Case studies on market entry, CSR and coaching, Springer, 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p. 27-36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411263B1" w14:textId="73F1F429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et Mayrhofer, U. (2018), « Le défi de l’international pour les PME de demain », dans Szostak, B., Teyssier, C. et Séville, M.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Le Management des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lastRenderedPageBreak/>
        <w:t>Risques : Enjeux et Défis pour les PME d’aujourd’hui et de demain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Dunod, collection Management Sup., p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. 35-54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79875065" w14:textId="2430C6B3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Emball’iso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une PME qui internationalise sa GRH », dans Mayrhofer, U.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Management Interculturel, Vuibert, 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p.180-186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57241D63" w14:textId="127701CA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Agitateurs, une PME à l’assaut de l’international », dans Mayrhofer, U.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.), Management Interculturel, Vuibert, pp.35-40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1F8851FB" w14:textId="027689E0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(2016), « The role of Risk in SMEs’ growth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strategies 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targeting unstable environments », dans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Etemad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H.,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Denicolai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S., Hagen, B.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Zucchella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A. (sous la dir.),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The Change in The Global Economy and the Future of International Entrepreneurship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Edward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Elgard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Publishing, 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p. 66-95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4BBDDD0E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Chalençon, L. et Dominguez, N. (2016), « Le paradigme éclectique sous le prisme de l’internationalisation des firmes émergentes », dans Prévot, F.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Meschi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P.-X.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Economies émergentes : enjeux pour le management international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Vuibert, p. 103-116</w:t>
      </w:r>
    </w:p>
    <w:p w14:paraId="4DD637E1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(2016), « Internationalisation des PME : quelles motivations à la mise en œuvre d’une stratégie tête-de-pont ? », dans Dupuis, J.-P., Lemaire, J.-P.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Milliot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Ancrages culturels et dynamiques du management international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Vuibert, p. 103-116.</w:t>
      </w:r>
    </w:p>
    <w:p w14:paraId="2E2A8BC1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Chalençon, L. et Dominguez, N. (2014), « John Harry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Dunning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: Théorie éclectique de l’internationalisation de la firme », dans Mayrhofer, U.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.), Grands Auteurs en Management International, Editions Management &amp; Société (EMS), p. 107-126</w:t>
      </w:r>
    </w:p>
    <w:p w14:paraId="31403CDC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Mercier-Suissa, C. (2014), </w:t>
      </w:r>
      <w:r w:rsidRPr="00EA2DD0">
        <w:rPr>
          <w:rFonts w:asciiTheme="minorHAnsi" w:hAnsiTheme="minorHAnsi" w:cstheme="minorHAnsi"/>
          <w:color w:val="000000"/>
          <w:sz w:val="24"/>
          <w:szCs w:val="24"/>
        </w:rPr>
        <w:t>« 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Made in France » et déterminants de la relocalisation des activités productives des PME : le cas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Easybike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dans Lecointre G.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Le grand livre de l’économie PME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3ème édition, Gualino.</w:t>
      </w:r>
    </w:p>
    <w:p w14:paraId="086BA44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Paper </w:t>
      </w:r>
      <w:proofErr w:type="spellStart"/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Development</w:t>
      </w:r>
      <w:proofErr w:type="spellEnd"/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Workshops</w:t>
      </w:r>
    </w:p>
    <w:p w14:paraId="36C86479" w14:textId="33CC1CC1" w:rsidR="00D546EE" w:rsidRDefault="00D546EE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Aziz-Alaoui, M. et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E. (20</w:t>
      </w:r>
      <w:r w:rsid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3) « Entrepreneurial orientation and challenges among women entrepreneurs: are native and immigrants any different? »,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Journal of International Business Studies Paper Development Workshop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ISEG – University of Lisbon,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Lisbone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Portugal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– 15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décembre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3877E85D" w14:textId="3881F308" w:rsidR="00382F9C" w:rsidRDefault="00382F9C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(2022), 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“</w:t>
      </w:r>
      <w:r w:rsidRPr="00382F9C">
        <w:rPr>
          <w:sz w:val="24"/>
          <w:lang w:val="en-US"/>
        </w:rPr>
        <w:t>Meeting the SDGs through a circular business model</w:t>
      </w:r>
      <w:r>
        <w:rPr>
          <w:sz w:val="24"/>
          <w:lang w:val="en-US"/>
        </w:rPr>
        <w:t>”</w:t>
      </w:r>
      <w:r w:rsidRPr="00382F9C">
        <w:rPr>
          <w:sz w:val="24"/>
          <w:lang w:val="en-US"/>
        </w:rPr>
        <w:t xml:space="preserve">. </w:t>
      </w:r>
      <w:r w:rsidRPr="00382F9C">
        <w:rPr>
          <w:i/>
          <w:iCs/>
          <w:sz w:val="24"/>
          <w:lang w:val="en-US"/>
        </w:rPr>
        <w:t>3</w:t>
      </w:r>
      <w:r w:rsidRPr="00382F9C">
        <w:rPr>
          <w:i/>
          <w:iCs/>
          <w:sz w:val="24"/>
          <w:vertAlign w:val="superscript"/>
          <w:lang w:val="en-US"/>
        </w:rPr>
        <w:t xml:space="preserve">ème </w:t>
      </w:r>
      <w:proofErr w:type="spellStart"/>
      <w:r w:rsidRPr="00382F9C">
        <w:rPr>
          <w:i/>
          <w:iCs/>
          <w:sz w:val="24"/>
          <w:lang w:val="en-US"/>
        </w:rPr>
        <w:t>Journée</w:t>
      </w:r>
      <w:proofErr w:type="spellEnd"/>
      <w:r w:rsidRPr="00382F9C">
        <w:rPr>
          <w:i/>
          <w:iCs/>
          <w:sz w:val="24"/>
          <w:lang w:val="en-US"/>
        </w:rPr>
        <w:t xml:space="preserve"> </w:t>
      </w:r>
      <w:proofErr w:type="spellStart"/>
      <w:r w:rsidRPr="00382F9C">
        <w:rPr>
          <w:i/>
          <w:iCs/>
          <w:sz w:val="24"/>
          <w:lang w:val="en-US"/>
        </w:rPr>
        <w:t>Automnale</w:t>
      </w:r>
      <w:proofErr w:type="spellEnd"/>
      <w:r w:rsidRPr="00382F9C">
        <w:rPr>
          <w:i/>
          <w:iCs/>
          <w:sz w:val="24"/>
          <w:lang w:val="en-US"/>
        </w:rPr>
        <w:t xml:space="preserve"> du Management International - Paper Development Workshop</w:t>
      </w:r>
      <w:r w:rsidRPr="00382F9C">
        <w:rPr>
          <w:sz w:val="24"/>
          <w:lang w:val="en-US"/>
        </w:rPr>
        <w:t xml:space="preserve">, </w:t>
      </w:r>
      <w:proofErr w:type="spellStart"/>
      <w:r w:rsidRPr="00382F9C">
        <w:rPr>
          <w:sz w:val="24"/>
          <w:lang w:val="en-US"/>
        </w:rPr>
        <w:t>iaelyon</w:t>
      </w:r>
      <w:proofErr w:type="spellEnd"/>
      <w:r w:rsidRPr="00382F9C">
        <w:rPr>
          <w:sz w:val="24"/>
          <w:lang w:val="en-US"/>
        </w:rPr>
        <w:t xml:space="preserve"> School of Management; ESCAA School of Management</w:t>
      </w:r>
      <w:r>
        <w:rPr>
          <w:sz w:val="24"/>
          <w:lang w:val="en-US"/>
        </w:rPr>
        <w:t xml:space="preserve">, </w:t>
      </w:r>
      <w:r w:rsidRPr="00382F9C">
        <w:rPr>
          <w:sz w:val="24"/>
          <w:lang w:val="en-US"/>
        </w:rPr>
        <w:t xml:space="preserve">Aix-Marseille </w:t>
      </w:r>
      <w:proofErr w:type="spellStart"/>
      <w:r w:rsidRPr="00382F9C">
        <w:rPr>
          <w:sz w:val="24"/>
          <w:lang w:val="en-US"/>
        </w:rPr>
        <w:t>Université</w:t>
      </w:r>
      <w:proofErr w:type="spellEnd"/>
      <w:r w:rsidRPr="00382F9C">
        <w:rPr>
          <w:sz w:val="24"/>
          <w:lang w:val="en-US"/>
        </w:rPr>
        <w:t xml:space="preserve">; </w:t>
      </w:r>
      <w:r>
        <w:rPr>
          <w:sz w:val="24"/>
          <w:lang w:val="en-US"/>
        </w:rPr>
        <w:t>28</w:t>
      </w:r>
      <w:r w:rsidRPr="00382F9C">
        <w:rPr>
          <w:sz w:val="24"/>
          <w:lang w:val="en-US"/>
        </w:rPr>
        <w:t xml:space="preserve"> </w:t>
      </w:r>
      <w:proofErr w:type="spellStart"/>
      <w:r w:rsidRPr="00382F9C">
        <w:rPr>
          <w:sz w:val="24"/>
          <w:lang w:val="en-US"/>
        </w:rPr>
        <w:t>Nov</w:t>
      </w:r>
      <w:r>
        <w:rPr>
          <w:sz w:val="24"/>
          <w:lang w:val="en-US"/>
        </w:rPr>
        <w:t>embre</w:t>
      </w:r>
      <w:proofErr w:type="spellEnd"/>
      <w:r>
        <w:rPr>
          <w:sz w:val="24"/>
          <w:lang w:val="en-US"/>
        </w:rPr>
        <w:t>.</w:t>
      </w:r>
    </w:p>
    <w:p w14:paraId="248A2843" w14:textId="75CCC3AB" w:rsidR="00043CC2" w:rsidRPr="00EA2DD0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(2016), « Why do manufacturing SMEs internationalize through gateway strategies? A qualitative approach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Journal of International Business Studies Paper Development Workshop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Vienna University of Economics and Business, Vienne, 2 </w:t>
      </w:r>
      <w:proofErr w:type="spellStart"/>
      <w:r w:rsid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écembre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63375E77" w14:textId="0D232920" w:rsidR="00043CC2" w:rsidRDefault="00043CC2" w:rsidP="00043CC2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  <w:lang w:val="en-US"/>
        </w:rPr>
      </w:pPr>
    </w:p>
    <w:p w14:paraId="70385C54" w14:textId="556E1F25" w:rsidR="004D0A8A" w:rsidRPr="004D0A8A" w:rsidRDefault="00043CC2" w:rsidP="004D0A8A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</w:t>
      </w:r>
      <w:r w:rsidRPr="00B1771A">
        <w:rPr>
          <w:rFonts w:ascii="Calibri" w:hAnsi="Calibri"/>
          <w:b/>
          <w:szCs w:val="24"/>
        </w:rPr>
        <w:t>apports de recherche</w:t>
      </w:r>
    </w:p>
    <w:p w14:paraId="6F32C0FF" w14:textId="6FD59815" w:rsidR="00043CC2" w:rsidRPr="00E91654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M.,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Lefebure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A.,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Maunaye, E., Mercier-Suissa, C., Ottaviano, N., Petit-Sénéchal, P.,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Pinchon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M. &amp; Poisson, F. (2021), “Report on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Refugees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access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housing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France”, H2020 MERGING Project GA nb. 101004535, </w:t>
      </w:r>
    </w:p>
    <w:p w14:paraId="0922F365" w14:textId="77777777" w:rsidR="00043CC2" w:rsidRPr="00E91654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M.,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Maunaye, E., Mercier-Suissa, C., Mugel, E., Ottaviano,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Pinchon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M. &amp; Poisson, F. (2021), “French Public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Policies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on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refugees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access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housing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”, H2020 MERGING Project GA nb. 101004535, </w:t>
      </w:r>
      <w:proofErr w:type="spellStart"/>
      <w:proofErr w:type="gram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doi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proofErr w:type="gram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10.34847/nkl.561e5j8q</w:t>
      </w:r>
    </w:p>
    <w:p w14:paraId="1CE02DCE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E., Dixon, L., Dominguez, N., Mercier-Suissa, C., Mugel, E., Ottaviano, N.,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Pinchon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 &amp;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Accoroni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D., (2021), 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Report on the analysis of an innovative housing project promoting refugees' integration in France: the case of the Cinq </w:t>
      </w:r>
      <w:proofErr w:type="spellStart"/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Toits</w:t>
      </w:r>
      <w:proofErr w:type="spellEnd"/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(Paris)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10.34847/nkl.0f5cf3r3</w:t>
      </w:r>
    </w:p>
    <w:p w14:paraId="5F49EF95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Loncle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P., Maunaye, E.,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E., Dixon, L., Mercier-Suissa, C., Mugel, E., Ottaviano, N.,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Pinchon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 (2021), </w:t>
      </w:r>
      <w:r w:rsidRPr="00DD33CA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Overview of Refugees’ access to housing in France: the metropoles of Lyon and Rennes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10.34847/nkl.82bd9q7j</w:t>
      </w:r>
    </w:p>
    <w:p w14:paraId="3279065D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Contributions à des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rapports de recherche</w:t>
      </w:r>
    </w:p>
    <w:p w14:paraId="67F5F274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E. et al. 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(2021), “National report on Immigrants’ access to housing and rights”,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-Noguera,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202BC7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Review of integration / inclusion policies and initiatives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B0059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10.34847/nkl.d3ac0hcp</w:t>
      </w:r>
    </w:p>
    <w:p w14:paraId="61632FB8" w14:textId="77777777" w:rsidR="00043CC2" w:rsidRPr="002B3CBD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E. et al. 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(2021), “National report on Immigrants’ access to housing and rights”,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-Noguera,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202BC7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Review of integration / inclusion policies and initiatives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B0059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10.34847/nkl.d3ac0hcp</w:t>
      </w:r>
    </w:p>
    <w:p w14:paraId="352A8F0B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Maunaye, E. et al.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(20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21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“National Report on Refugees’ access to housing”,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-Noguera,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DD33CA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Overview of refugees’ access to housing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AC21B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</w:t>
      </w:r>
      <w:proofErr w:type="gramStart"/>
      <w:r w:rsidRPr="00AC21B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nkl.a</w:t>
      </w:r>
      <w:proofErr w:type="gramEnd"/>
      <w:r w:rsidRPr="00AC21B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25cv32w</w:t>
      </w:r>
    </w:p>
    <w:p w14:paraId="3CBE73BC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Maunaye, E. et al.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(20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21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“National Report on </w:t>
      </w:r>
      <w:r w:rsidRPr="00EF1BD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public policies related to immigrants' access to housing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-Noguera,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EF1BDB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Analysis of public policies related to immigrants' access to housing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EF1BD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10.34847/nkl.c9fb311i</w:t>
      </w:r>
    </w:p>
    <w:p w14:paraId="716ACBDC" w14:textId="77777777" w:rsidR="00043CC2" w:rsidRPr="000B2D7B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Maunaye, E. et al.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(20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21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“</w:t>
      </w:r>
      <w:r w:rsidRPr="000B2D7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National Report on the multilevel governance of refugee housing”,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in Bousiou, A. &amp; Spehar, A. (ed.), </w:t>
      </w:r>
      <w:r w:rsidRPr="000B2D7B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Report on the multilevel governance of refugee housing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0B2D7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10.34847/nkl.df7275c3</w:t>
      </w:r>
    </w:p>
    <w:p w14:paraId="291BAB96" w14:textId="1E1EBE18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GoBack"/>
      <w:bookmarkEnd w:id="0"/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Communications présentées lors de conférences à comité de lecture</w:t>
      </w:r>
    </w:p>
    <w:p w14:paraId="3454AA76" w14:textId="475DE2A7" w:rsidR="004D0A8A" w:rsidRPr="004D0A8A" w:rsidRDefault="004D0A8A" w:rsidP="004D0A8A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&amp; Aziz-Alaoui, M. (2024), 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“</w:t>
      </w:r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How do informal institutions affect entrepreneurs’ behaviors in Morocco and France?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”, </w:t>
      </w:r>
      <w:r>
        <w:rPr>
          <w:i/>
          <w:iCs/>
          <w:sz w:val="24"/>
          <w:szCs w:val="24"/>
          <w:lang w:val="en-US"/>
        </w:rPr>
        <w:t>50</w:t>
      </w:r>
      <w:r w:rsidRPr="004D0A8A">
        <w:rPr>
          <w:i/>
          <w:iCs/>
          <w:sz w:val="24"/>
          <w:szCs w:val="24"/>
          <w:vertAlign w:val="superscript"/>
          <w:lang w:val="en-US"/>
        </w:rPr>
        <w:t>th</w:t>
      </w:r>
      <w:r w:rsidRPr="00382F9C">
        <w:rPr>
          <w:i/>
          <w:iCs/>
          <w:sz w:val="24"/>
          <w:szCs w:val="24"/>
          <w:lang w:val="en-US"/>
        </w:rPr>
        <w:t xml:space="preserve"> European International Business Academy Conference</w:t>
      </w:r>
      <w:r>
        <w:rPr>
          <w:i/>
          <w:iCs/>
          <w:sz w:val="24"/>
          <w:szCs w:val="24"/>
          <w:lang w:val="en-US"/>
        </w:rPr>
        <w:t xml:space="preserve">, </w:t>
      </w:r>
      <w:r w:rsidRPr="004D0A8A">
        <w:rPr>
          <w:iCs/>
          <w:sz w:val="24"/>
          <w:szCs w:val="24"/>
          <w:lang w:val="en-US"/>
        </w:rPr>
        <w:t xml:space="preserve">Aalto University, Helsinki, 12-14 </w:t>
      </w:r>
      <w:proofErr w:type="spellStart"/>
      <w:r w:rsidRPr="004D0A8A">
        <w:rPr>
          <w:iCs/>
          <w:sz w:val="24"/>
          <w:szCs w:val="24"/>
          <w:lang w:val="en-US"/>
        </w:rPr>
        <w:t>Décembre</w:t>
      </w:r>
      <w:proofErr w:type="spellEnd"/>
      <w:r w:rsidRPr="004D0A8A">
        <w:rPr>
          <w:iCs/>
          <w:sz w:val="24"/>
          <w:szCs w:val="24"/>
          <w:lang w:val="en-US"/>
        </w:rPr>
        <w:t>.</w:t>
      </w:r>
    </w:p>
    <w:p w14:paraId="13FDC9AB" w14:textId="21E39EED" w:rsidR="00382F9C" w:rsidRPr="004D0A8A" w:rsidRDefault="00382F9C" w:rsidP="004D0A8A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Aziz-Alaoui, M. &amp; </w:t>
      </w:r>
      <w:proofErr w:type="spellStart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 (2023), « Entrepreneurial Intentions and Challenges among women entrepreneurs in France: are native and immigrants any </w:t>
      </w:r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lastRenderedPageBreak/>
        <w:t xml:space="preserve">different? », </w:t>
      </w:r>
      <w:r w:rsidRPr="00382F9C">
        <w:rPr>
          <w:i/>
          <w:iCs/>
          <w:sz w:val="24"/>
          <w:szCs w:val="24"/>
          <w:lang w:val="en-US"/>
        </w:rPr>
        <w:t>49th European International Business Academy Conference</w:t>
      </w:r>
      <w:r w:rsidRPr="00382F9C">
        <w:rPr>
          <w:sz w:val="24"/>
          <w:szCs w:val="24"/>
          <w:lang w:val="en-US"/>
        </w:rPr>
        <w:t xml:space="preserve">, Lisbon School of Economics and Management, </w:t>
      </w:r>
      <w:r w:rsidRPr="00382F9C">
        <w:rPr>
          <w:sz w:val="24"/>
          <w:szCs w:val="24"/>
          <w:lang w:val="en-US"/>
        </w:rPr>
        <w:t xml:space="preserve">15-17 </w:t>
      </w:r>
      <w:proofErr w:type="spellStart"/>
      <w:r w:rsidRPr="00382F9C">
        <w:rPr>
          <w:sz w:val="24"/>
          <w:szCs w:val="24"/>
          <w:lang w:val="en-US"/>
        </w:rPr>
        <w:t>D</w:t>
      </w:r>
      <w:r w:rsidRPr="00382F9C">
        <w:rPr>
          <w:sz w:val="24"/>
          <w:szCs w:val="24"/>
          <w:lang w:val="en-US"/>
        </w:rPr>
        <w:t>écembre</w:t>
      </w:r>
      <w:proofErr w:type="spellEnd"/>
    </w:p>
    <w:p w14:paraId="2A1631D2" w14:textId="6AD1F701" w:rsidR="00382F9C" w:rsidRPr="00382F9C" w:rsidRDefault="00382F9C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</w:t>
      </w:r>
      <w:proofErr w:type="spellStart"/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E., Mercier-Suissa, S., Mugel, E., Ottaviano, E. (2022), “</w:t>
      </w:r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Participatory projects and their impact on immigrants’ integration in France</w:t>
      </w:r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”</w:t>
      </w:r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. </w:t>
      </w:r>
      <w:r w:rsidRPr="00382F9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XIV </w:t>
      </w:r>
      <w:proofErr w:type="spellStart"/>
      <w:r w:rsidRPr="00382F9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Congreso</w:t>
      </w:r>
      <w:proofErr w:type="spellEnd"/>
      <w:r w:rsidRPr="00382F9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proofErr w:type="spellStart"/>
      <w:r w:rsidRPr="00382F9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Español</w:t>
      </w:r>
      <w:proofErr w:type="spellEnd"/>
      <w:r w:rsidRPr="00382F9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de </w:t>
      </w:r>
      <w:proofErr w:type="spellStart"/>
      <w:r w:rsidRPr="00382F9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Sociología</w:t>
      </w:r>
      <w:proofErr w:type="spellEnd"/>
      <w:r w:rsidRPr="00382F9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,</w:t>
      </w:r>
      <w:r w:rsidRPr="00382F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382F9C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Universidad</w:t>
      </w:r>
      <w:proofErr w:type="spellEnd"/>
      <w:r w:rsidRPr="00382F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</w:t>
      </w:r>
      <w:r w:rsidRPr="00382F9C">
        <w:rPr>
          <w:rFonts w:asciiTheme="minorHAnsi" w:eastAsiaTheme="minorHAnsi" w:hAnsiTheme="minorHAnsi" w:cstheme="minorHAnsi"/>
          <w:sz w:val="24"/>
          <w:szCs w:val="24"/>
          <w:lang w:eastAsia="en-US"/>
        </w:rPr>
        <w:t>Murcia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382F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30 juin – 1</w:t>
      </w:r>
      <w:r w:rsidRPr="00382F9C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er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juillet</w:t>
      </w:r>
    </w:p>
    <w:p w14:paraId="3D36651E" w14:textId="77777777" w:rsidR="00382F9C" w:rsidRPr="00382F9C" w:rsidRDefault="00382F9C" w:rsidP="00382F9C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proofErr w:type="spellStart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Majocchi</w:t>
      </w:r>
      <w:proofErr w:type="spellEnd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A., Dominguez, N. &amp; Mayrhofer, U. (2022), 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“</w:t>
      </w:r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Export Promotion </w:t>
      </w:r>
      <w:proofErr w:type="gramStart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Programs :</w:t>
      </w:r>
      <w:proofErr w:type="gramEnd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which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firms really need them?”, </w:t>
      </w:r>
      <w:r w:rsidRPr="00382F9C">
        <w:rPr>
          <w:i/>
          <w:iCs/>
          <w:sz w:val="24"/>
          <w:lang w:val="en-US"/>
        </w:rPr>
        <w:t>48th European International Business Academy Conference</w:t>
      </w:r>
      <w:r w:rsidRPr="00382F9C">
        <w:rPr>
          <w:sz w:val="24"/>
          <w:lang w:val="en-US"/>
        </w:rPr>
        <w:t xml:space="preserve">, BI Norway, Oslo, 8-10 </w:t>
      </w:r>
      <w:proofErr w:type="spellStart"/>
      <w:r w:rsidRPr="00382F9C">
        <w:rPr>
          <w:sz w:val="24"/>
          <w:lang w:val="en-US"/>
        </w:rPr>
        <w:t>Décembre</w:t>
      </w:r>
      <w:proofErr w:type="spellEnd"/>
      <w:r w:rsidRPr="00382F9C">
        <w:rPr>
          <w:sz w:val="24"/>
          <w:lang w:val="en-US"/>
        </w:rPr>
        <w:t>.</w:t>
      </w:r>
    </w:p>
    <w:p w14:paraId="25926C4A" w14:textId="402A9F75" w:rsidR="00043CC2" w:rsidRPr="00382F9C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Dominguez, N. &amp; Mercier-Suissa, C. (2021), « Immigrant Entrepreneurship: Building upon Resilience, Empowerment, Transgression and Participatory Design », 47</w:t>
      </w:r>
      <w:r w:rsidRPr="00382F9C">
        <w:rPr>
          <w:rFonts w:asciiTheme="minorHAnsi" w:eastAsiaTheme="minorHAnsi" w:hAnsiTheme="minorHAnsi" w:cstheme="minorHAnsi"/>
          <w:sz w:val="24"/>
          <w:szCs w:val="24"/>
          <w:vertAlign w:val="superscript"/>
          <w:lang w:val="en-US" w:eastAsia="en-US"/>
        </w:rPr>
        <w:t>ème</w:t>
      </w:r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Conférence</w:t>
      </w:r>
      <w:proofErr w:type="spellEnd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Annuelle</w:t>
      </w:r>
      <w:proofErr w:type="spellEnd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de </w:t>
      </w:r>
      <w:proofErr w:type="spellStart"/>
      <w:r w:rsidRPr="00382F9C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l’European</w:t>
      </w:r>
      <w:proofErr w:type="spellEnd"/>
      <w:r w:rsidRPr="00382F9C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International Business Academy</w:t>
      </w:r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(EIBA), University of </w:t>
      </w:r>
      <w:proofErr w:type="spellStart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Complutense</w:t>
      </w:r>
      <w:proofErr w:type="spellEnd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Madrid, 10 – 12 </w:t>
      </w:r>
      <w:proofErr w:type="spellStart"/>
      <w:r w:rsidRPr="00382F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Décembre</w:t>
      </w:r>
      <w:proofErr w:type="spellEnd"/>
    </w:p>
    <w:p w14:paraId="7D5121B4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(2019),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SMEs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Learning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from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Failing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Emerging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 Longitudinal Perspective », 45</w:t>
      </w:r>
      <w:r w:rsidRPr="00EA2DD0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Conférence Annuelle de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l’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European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International Business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(EIBA),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Leeds, Leeds, 13 – 15 Décembre (finaliste pour le prix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Laziridis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la meilleure communication)</w:t>
      </w:r>
    </w:p>
    <w:p w14:paraId="2C86F9E4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(2017), « Les réseaux d’affaires : moteurs ou freins de l’internationalisation des PME dans les marchés émergents ? », 7</w:t>
      </w:r>
      <w:r w:rsidRPr="00EA2DD0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Conférence Annuelle d’Atlas/AFMI (Association Francophone de Management International), INSCAE, Antananarivo, Madagascar, 2 – 4 Mai</w:t>
      </w:r>
    </w:p>
    <w:p w14:paraId="512D7146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(2017), « Motivations driving manufacturing SMEs to internationalize through gateway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strategies 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 conceptual framework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de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l’Academy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of International Business UK &amp; Ireland Chapter (AIB-UKI) et 6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Annuelle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Reading International Business,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Henley Business School – University of Reading, Reading, 6 – 8 Avril</w:t>
      </w:r>
    </w:p>
    <w:p w14:paraId="575F7547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Mayrhofer, U.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Obadia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C. (2017), « The Antecedents of Information Exchange in Export Business Networks », 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9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 xml:space="preserve">ème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Annuelle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de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l’Academy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of International Business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(AIB), Mohammed Bin Rashid School of Government, Dubai,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Emirats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Arabes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Unis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2 – 5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Juillet</w:t>
      </w:r>
      <w:proofErr w:type="spellEnd"/>
    </w:p>
    <w:p w14:paraId="0422FF63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(2016), « Why do manufacturing SMEs internationalize through gateway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strategies ?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qualitative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approach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 », 42</w:t>
      </w:r>
      <w:r w:rsidRPr="00EA2DD0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Conférence Annuelle de l’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European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International Business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(EIBA), Vienna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Economics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and Business, Vienne, 2– 4 Décembre</w:t>
      </w:r>
    </w:p>
    <w:p w14:paraId="4DAC1D3B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(2016), « Les stratégies tête-de-pont : un palliatif à l'instabilité croissante des localisations ?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6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 (Association Francophone de Management International),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EDHEC et IAE de Nice, Nice, 6 – 8 Juin, Prix de la meilleure communication.</w:t>
      </w:r>
    </w:p>
    <w:p w14:paraId="5EEA36F9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(2016), « Internationalization processes of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SMEs 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the case of the French company SLAT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1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ère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Entrepreneurship and Internationalization of SMEs – Production Networks and Inter-firm Social responsibility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ESDES, Lyon, 12 Mai</w:t>
      </w:r>
    </w:p>
    <w:p w14:paraId="5A4BE6CA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lastRenderedPageBreak/>
        <w:t xml:space="preserve">Dominguez, N. et Mayrhofer, U. (2015), « The internationalization of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SMEs 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An incremental process ?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41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Annuelle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de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l’European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International Business Academy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(EIBA), Pontifical Catholic University (PUC), Rio de Janeiro, 1 – 3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Décembre</w:t>
      </w:r>
      <w:proofErr w:type="spellEnd"/>
    </w:p>
    <w:p w14:paraId="2CE1C8A6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Chirita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M.C., Cisneros, L. (2015),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Velan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Group Case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The Babson Global STEP Project for Family Enterprising,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ESADE University, Barcelona, 14-16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Novembre</w:t>
      </w:r>
      <w:proofErr w:type="spellEnd"/>
    </w:p>
    <w:p w14:paraId="6CDB460B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(2015), « Vitesse et linéarité du processus d’internationalisation des PME : vers une pluralité d’approches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5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 (Association Francophone de Management International)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Centre Franco-Vietnamien de Gestion, Hanoï, 12 – 14 Mai.</w:t>
      </w:r>
    </w:p>
    <w:p w14:paraId="331B079D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Chalencon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L. et Dominguez, N. (2014), « Economies émergentes, économies matures et internationalisation des firmes : vers une révision du paradigme éclectique ?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 (Association Francophone de Management International),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Aix-Marseille, 19 – 21 Mai </w:t>
      </w:r>
    </w:p>
    <w:p w14:paraId="2EFFD001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(2014), « Internationalisation des firmes et économies émergentes : la mise au défi des théories existantes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(Association Francophone de Management International), Aix-Marseille, 19 – 21 Mai</w:t>
      </w:r>
    </w:p>
    <w:p w14:paraId="26DB7228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(2013),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Accompaniment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structures and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SMEs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Internationalization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process in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emerging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economies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39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de l’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European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International Business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(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EIBA),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Bremen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12-14 Décembre </w:t>
      </w:r>
    </w:p>
    <w:p w14:paraId="4BB7406C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(2013), « Les stratégies de localisation dans les pays tête-de-pont : analyse des motivations des PME françaises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3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Atlas/AFMI (Association Francophone de Management International), 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HEC Montréal, 8-9 Juillet</w:t>
      </w:r>
    </w:p>
    <w:p w14:paraId="502F4B8C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(2013), « Entering Central and Eastern European markets through Gateway Strategies: the case of the French company SLAT 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Colloque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Franco-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Tchèque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“Trends in International Business”;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iaelyon School of Management, Université Jean Moulin - VSE Prague University of Economics, 25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Juin</w:t>
      </w:r>
      <w:proofErr w:type="spellEnd"/>
    </w:p>
    <w:p w14:paraId="41720B4F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Raïs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 (2012), « Risk-seeking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behaviours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in growth strategies of SMEs: targeting unstable environments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15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th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McGill International Entrepreneurship Conference,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Università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di Pavia, 21-23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Septembre</w:t>
      </w:r>
      <w:proofErr w:type="spellEnd"/>
    </w:p>
    <w:p w14:paraId="4F289A2F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(2012), « Factors influencing the level of foreign commitment of small and medium-sized firms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3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Colloque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Franco-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Tchèque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“Trends in International Business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”; iaelyon School of Management, Université Jean Moulin - VSE Prague University of Economics; 28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juin</w:t>
      </w:r>
      <w:proofErr w:type="spellEnd"/>
    </w:p>
    <w:p w14:paraId="63AFD7A9" w14:textId="1592472D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Études de cas</w:t>
      </w:r>
    </w:p>
    <w:p w14:paraId="54F3FF1B" w14:textId="3B1B44B4" w:rsidR="00D546EE" w:rsidRPr="00D546EE" w:rsidRDefault="00D546EE" w:rsidP="00D546EE">
      <w:pPr>
        <w:pStyle w:val="Paragraphedeliste"/>
        <w:numPr>
          <w:ilvl w:val="0"/>
          <w:numId w:val="19"/>
        </w:numPr>
        <w:rPr>
          <w:rFonts w:asciiTheme="minorHAnsi" w:eastAsiaTheme="minorHAnsi" w:hAnsiTheme="minorHAnsi" w:cstheme="minorHAnsi"/>
          <w:lang w:eastAsia="en-US"/>
        </w:rPr>
      </w:pPr>
      <w:r w:rsidRPr="00D546EE">
        <w:rPr>
          <w:rFonts w:asciiTheme="minorHAnsi" w:eastAsiaTheme="minorHAnsi" w:hAnsiTheme="minorHAnsi" w:cstheme="minorHAnsi"/>
          <w:lang w:eastAsia="en-US"/>
        </w:rPr>
        <w:t xml:space="preserve">Dominguez, N. &amp; Mayrhofer, U. (2024), « </w:t>
      </w:r>
      <w:proofErr w:type="spellStart"/>
      <w:r w:rsidRPr="00D546EE">
        <w:rPr>
          <w:rFonts w:asciiTheme="minorHAnsi" w:eastAsiaTheme="minorHAnsi" w:hAnsiTheme="minorHAnsi" w:cstheme="minorHAnsi"/>
          <w:lang w:eastAsia="en-US"/>
        </w:rPr>
        <w:t>Mixel</w:t>
      </w:r>
      <w:proofErr w:type="spellEnd"/>
      <w:r w:rsidRPr="00D546E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D546EE">
        <w:rPr>
          <w:rFonts w:asciiTheme="minorHAnsi" w:eastAsiaTheme="minorHAnsi" w:hAnsiTheme="minorHAnsi" w:cstheme="minorHAnsi"/>
          <w:lang w:eastAsia="en-US"/>
        </w:rPr>
        <w:t>Agitators</w:t>
      </w:r>
      <w:proofErr w:type="spellEnd"/>
      <w:r w:rsidRPr="00D546EE">
        <w:rPr>
          <w:rFonts w:asciiTheme="minorHAnsi" w:eastAsiaTheme="minorHAnsi" w:hAnsiTheme="minorHAnsi" w:cstheme="minorHAnsi"/>
          <w:lang w:eastAsia="en-US"/>
        </w:rPr>
        <w:t xml:space="preserve"> : expérience interculturelle d’une PME en Chine », Centrale des Cas et des Médias Pédagogiques, CCI Paris</w:t>
      </w:r>
      <w:r>
        <w:rPr>
          <w:rFonts w:asciiTheme="minorHAnsi" w:eastAsiaTheme="minorHAnsi" w:hAnsiTheme="minorHAnsi" w:cstheme="minorHAnsi"/>
          <w:lang w:eastAsia="en-US"/>
        </w:rPr>
        <w:t xml:space="preserve"> (réédition – mise à jour)</w:t>
      </w:r>
    </w:p>
    <w:p w14:paraId="593ECCAD" w14:textId="177A96B3" w:rsidR="00D546EE" w:rsidRPr="00D546EE" w:rsidRDefault="00D546EE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Denis, L. et Dominguez, N.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(2023),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Panafrica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la start-up qui met la chaussure au vert, 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Centrale des Cas et des Médias Pédagogiques, CCI Paris</w:t>
      </w:r>
    </w:p>
    <w:p w14:paraId="1DD20FD1" w14:textId="77777777" w:rsidR="00D546EE" w:rsidRPr="00B5559C" w:rsidRDefault="00D546EE" w:rsidP="00D546EE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lastRenderedPageBreak/>
        <w:t>Dominguez, N. et Hagen, B. (2022), « </w:t>
      </w:r>
      <w:proofErr w:type="spellStart"/>
      <w:proofErr w:type="gram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WeRoad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 :</w:t>
      </w:r>
      <w:proofErr w:type="gram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an Italian Start-up shaking up the travel industry », dans P. </w:t>
      </w:r>
      <w:proofErr w:type="spell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Ghauri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et </w:t>
      </w:r>
      <w:proofErr w:type="spell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Cateora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P. (2022), </w:t>
      </w:r>
      <w:r w:rsidRPr="00B5559C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International Marketing</w:t>
      </w:r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5ème </w:t>
      </w:r>
      <w:proofErr w:type="spell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édition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McGraw Hill Education</w:t>
      </w:r>
    </w:p>
    <w:p w14:paraId="25E52F82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Salvadori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T. (2020), « DWYT : le temps de l’internationalisation », Centrale des Cas et des Médias Pédagogiques, CCI Paris, Prix Atlas/AFMI de la meilleure étude de cas en Management International </w:t>
      </w:r>
    </w:p>
    <w:p w14:paraId="645C6045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Salvadori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T. (2020), « DWYT : time to internationalise », Centrale des Cas et des Médias Pédagogiques, CCI Paris, Prix Atlas/AFMI de la meilleure étude de cas en Management International </w:t>
      </w:r>
    </w:p>
    <w:p w14:paraId="46E6334C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Sartorius, A. (2020), « Baguette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: la start-up qui met le pétrin digital à l’international », Centrale des Cas et des Médias Pédagogiques, CCI Paris </w:t>
      </w:r>
    </w:p>
    <w:p w14:paraId="084ACA99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(2018),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: an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SME’s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intercultural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experience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China », Centrale des Cas et des Médias Pédagogiques, CCI Paris</w:t>
      </w:r>
    </w:p>
    <w:p w14:paraId="384AF6D8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(2018),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 : expérience interculturelle d’une PME en Chine », Centrale des Cas et des Médias Pédagogiques, CCI Paris</w:t>
      </w:r>
    </w:p>
    <w:p w14:paraId="2EEC9D34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a start-up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conquering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Asia », Centrale des Cas et des Médias Pédagogiques, CCI Paris</w:t>
      </w:r>
    </w:p>
    <w:p w14:paraId="46579A79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une start-up à la conquête de l’Asie », Centrale des Cas et des Médias Pédagogiques, CCI Paris</w:t>
      </w:r>
    </w:p>
    <w:p w14:paraId="29CDF1D8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Mayrhofer, U. (2016), « Reverse Magnet, a start-up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going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global », Centrale des Cas et des Médias Pédagogiques, CCI Paris</w:t>
      </w:r>
    </w:p>
    <w:p w14:paraId="5CC3B5CC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(2016), « Reverse Magnet, une start-up qui s’internationalise », Centrale des Cas et des Médias Pédagogiques, CCI Paris</w:t>
      </w:r>
    </w:p>
    <w:p w14:paraId="5B223424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(2016),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an SME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conquering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emerging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Centrale des Cas et des Médias Pédagogiques, CCI Paris </w:t>
      </w:r>
    </w:p>
    <w:p w14:paraId="4A372B89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(2016),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une PME à la conquête des marchés émergents », Centrale des Cas et des Médias Pédagogiques, CCI Paris </w:t>
      </w:r>
    </w:p>
    <w:p w14:paraId="418DF42C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Mercier-Suissa, C. (2014),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Velosolex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 : entre délocalisation en Chine, Internationalisation en Hongrie et relocalisation en France », Centrale IUT</w:t>
      </w:r>
    </w:p>
    <w:p w14:paraId="7DDD07CF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Mayrhofer, U. (2013), « SLAT, an SME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expanding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into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international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Centrale des Cas et des Médias Pédagogiques, CCI Paris – Prix de la meilleure étude de cas en Management International </w:t>
      </w:r>
    </w:p>
    <w:p w14:paraId="23818983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Mayrhofer, U. (2013), « SLAT, une PME tournée vers l’international », Centrale des Cas et des Médias Pédagogiques, CCI Paris – Prix de la meilleure étude de cas en Management International </w:t>
      </w:r>
    </w:p>
    <w:p w14:paraId="3B851D10" w14:textId="77777777" w:rsidR="00043CC2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Cs w:val="24"/>
          <w:lang w:eastAsia="en-US"/>
        </w:rPr>
        <w:t>Autres publications</w:t>
      </w:r>
    </w:p>
    <w:p w14:paraId="115404EF" w14:textId="7CADB1DE" w:rsidR="000F5973" w:rsidRPr="004D0A8A" w:rsidRDefault="00D546EE" w:rsidP="000F5973">
      <w:pPr>
        <w:pStyle w:val="Normal1"/>
        <w:numPr>
          <w:ilvl w:val="0"/>
          <w:numId w:val="19"/>
        </w:numPr>
        <w:spacing w:after="0" w:line="276" w:lineRule="auto"/>
        <w:rPr>
          <w:rStyle w:val="Lienhypertexte"/>
          <w:rFonts w:asciiTheme="minorHAnsi" w:eastAsiaTheme="minorHAnsi" w:hAnsiTheme="minorHAnsi" w:cstheme="minorHAnsi"/>
          <w:color w:val="auto"/>
          <w:sz w:val="24"/>
          <w:szCs w:val="24"/>
          <w:u w:val="none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Mayrhofer, U., Walther, M. et Dominguez, N</w:t>
      </w:r>
      <w:r w:rsidR="00043CC2"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(2024), “En quoi les réseaux des expatriés français diffèrent-ils de ceux de leurs homologues allemands ?”, The Con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versation </w:t>
      </w:r>
      <w:r w:rsidR="000F597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(publié le 28 février 2024), </w:t>
      </w:r>
      <w:hyperlink r:id="rId9" w:history="1">
        <w:r w:rsidR="000F5973" w:rsidRPr="005835E1">
          <w:rPr>
            <w:rStyle w:val="Lienhypertexte"/>
            <w:rFonts w:asciiTheme="minorHAnsi" w:eastAsiaTheme="minorHAnsi" w:hAnsiTheme="minorHAnsi" w:cstheme="minorHAnsi"/>
            <w:sz w:val="24"/>
            <w:szCs w:val="24"/>
            <w:lang w:eastAsia="en-US"/>
          </w:rPr>
          <w:t>https://theconversation.com/en-quoi-les-reseaux-des-expatries-francais-different-ils-de-ceux-de-leurs-homologues-allemands-224222</w:t>
        </w:r>
      </w:hyperlink>
    </w:p>
    <w:p w14:paraId="2E8D9347" w14:textId="5CAB7994" w:rsidR="004D0A8A" w:rsidRPr="004D0A8A" w:rsidRDefault="004D0A8A" w:rsidP="000F5973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4D0A8A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lastRenderedPageBreak/>
        <w:t>Mercier-Suissa, C., Hodgson, A. &amp; Dominguez, N. (2023), « Housing for immigrants and community integration in Europe and beyond: Strategies, policies, dwellings, and governance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”, CORDIS (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en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ligne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</w:t>
      </w:r>
    </w:p>
    <w:p w14:paraId="58441CD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Contrats de recherche</w:t>
      </w:r>
    </w:p>
    <w:p w14:paraId="48138E1E" w14:textId="03380081" w:rsidR="00043CC2" w:rsidRPr="00711788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2020 : Projet H2020 </w:t>
      </w:r>
      <w:r w:rsidR="00B5559C">
        <w:rPr>
          <w:rFonts w:asciiTheme="minorHAnsi" w:eastAsiaTheme="minorHAnsi" w:hAnsiTheme="minorHAnsi" w:cstheme="minorHAnsi"/>
        </w:rPr>
        <w:t>MERGING</w:t>
      </w:r>
      <w:r w:rsidRPr="00EA2DD0">
        <w:rPr>
          <w:rFonts w:asciiTheme="minorHAnsi" w:eastAsiaTheme="minorHAnsi" w:hAnsiTheme="minorHAnsi" w:cstheme="minorHAnsi"/>
        </w:rPr>
        <w:t xml:space="preserve"> - Coordination d’un projet d’inclusion des réfugiés par le logement </w:t>
      </w:r>
      <w:proofErr w:type="spellStart"/>
      <w:r w:rsidRPr="00EA2DD0">
        <w:rPr>
          <w:rFonts w:asciiTheme="minorHAnsi" w:eastAsiaTheme="minorHAnsi" w:hAnsiTheme="minorHAnsi" w:cstheme="minorHAnsi"/>
        </w:rPr>
        <w:t>co-construit</w:t>
      </w:r>
      <w:proofErr w:type="spellEnd"/>
      <w:r w:rsidRPr="00EA2DD0">
        <w:rPr>
          <w:rFonts w:asciiTheme="minorHAnsi" w:eastAsiaTheme="minorHAnsi" w:hAnsiTheme="minorHAnsi" w:cstheme="minorHAnsi"/>
        </w:rPr>
        <w:t xml:space="preserve"> sur la période 2021 – 2024 – (en collaboration avec Catherine Mercier-Suissa) – 3 millions €</w:t>
      </w:r>
      <w:r>
        <w:rPr>
          <w:rFonts w:asciiTheme="minorHAnsi" w:eastAsiaTheme="minorHAnsi" w:hAnsiTheme="minorHAnsi" w:cstheme="minorHAnsi"/>
        </w:rPr>
        <w:t xml:space="preserve"> - </w:t>
      </w:r>
      <w:hyperlink r:id="rId10" w:history="1">
        <w:r w:rsidRPr="00D963E7">
          <w:rPr>
            <w:rStyle w:val="Lienhypertexte"/>
            <w:rFonts w:asciiTheme="minorHAnsi" w:eastAsiaTheme="minorHAnsi" w:hAnsiTheme="minorHAnsi" w:cstheme="minorHAnsi"/>
          </w:rPr>
          <w:t>https://www.merging-housing-project.eu</w:t>
        </w:r>
      </w:hyperlink>
    </w:p>
    <w:p w14:paraId="313FF435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2017 : Projet SCUSI (Soutien aux Coopérations Universitaires et Scientifiques Internationales) de la région Auvergne-Rhône-Alpes pour la création d’une Chaire franco-italienne « Internationalisation des PME » - financement obtenu pour la période 2017-2020 (en collaboration avec l’</w:t>
      </w:r>
      <w:proofErr w:type="spellStart"/>
      <w:r w:rsidRPr="00EA2DD0">
        <w:rPr>
          <w:rFonts w:asciiTheme="minorHAnsi" w:eastAsiaTheme="minorHAnsi" w:hAnsiTheme="minorHAnsi" w:cstheme="minorHAnsi"/>
        </w:rPr>
        <w:t>Universita</w:t>
      </w:r>
      <w:proofErr w:type="spellEnd"/>
      <w:r w:rsidRPr="00EA2DD0">
        <w:rPr>
          <w:rFonts w:asciiTheme="minorHAnsi" w:eastAsiaTheme="minorHAnsi" w:hAnsiTheme="minorHAnsi" w:cstheme="minorHAnsi"/>
        </w:rPr>
        <w:t xml:space="preserve"> di </w:t>
      </w:r>
      <w:proofErr w:type="spellStart"/>
      <w:r w:rsidRPr="00EA2DD0">
        <w:rPr>
          <w:rFonts w:asciiTheme="minorHAnsi" w:eastAsiaTheme="minorHAnsi" w:hAnsiTheme="minorHAnsi" w:cstheme="minorHAnsi"/>
        </w:rPr>
        <w:t>Pavia</w:t>
      </w:r>
      <w:proofErr w:type="spellEnd"/>
      <w:r w:rsidRPr="00EA2DD0">
        <w:rPr>
          <w:rFonts w:asciiTheme="minorHAnsi" w:eastAsiaTheme="minorHAnsi" w:hAnsiTheme="minorHAnsi" w:cstheme="minorHAnsi"/>
        </w:rPr>
        <w:t xml:space="preserve"> et Ulrike Mayrhofer) – 45 000 €</w:t>
      </w:r>
    </w:p>
    <w:p w14:paraId="7D8870E3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2016 : Projet bourgeon (financement de l’Université Jean Moulin Lyon) sur l’internationalisation des PME (en collaboration avec Ulrike Mayrhofer) – 10 000 €</w:t>
      </w:r>
    </w:p>
    <w:p w14:paraId="765FBA49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2015 : Mission de recherche sur les facteurs clés de succès des fusions-acquisitions – pour le compte de l’Association des Régions de France (en collaboration avec Hanane Beddi, Ludivine Chalençon et Ulrike Mayrhofer) – 9 000 €</w:t>
      </w:r>
    </w:p>
    <w:p w14:paraId="517A6C3E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24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2013 : Projet de recherché sur les opportunités d’expansion d’une PME manufacturière en Amérique du Nord et du Sud – 2 000 €</w:t>
      </w:r>
    </w:p>
    <w:p w14:paraId="6218ABA0" w14:textId="77777777" w:rsidR="00B5559C" w:rsidRDefault="00B5559C" w:rsidP="00043CC2">
      <w:pPr>
        <w:spacing w:before="240" w:after="240" w:line="23" w:lineRule="atLeast"/>
        <w:jc w:val="both"/>
        <w:rPr>
          <w:rFonts w:asciiTheme="minorHAnsi" w:hAnsiTheme="minorHAnsi" w:cstheme="minorHAnsi"/>
          <w:b/>
          <w:caps/>
          <w:color w:val="003366"/>
          <w:sz w:val="24"/>
          <w:szCs w:val="24"/>
        </w:rPr>
      </w:pPr>
    </w:p>
    <w:p w14:paraId="60976BC0" w14:textId="4DF3F09D" w:rsidR="00043CC2" w:rsidRPr="00EA2DD0" w:rsidRDefault="004D0A8A" w:rsidP="00043CC2">
      <w:pPr>
        <w:spacing w:before="240" w:after="24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3366"/>
          <w:sz w:val="24"/>
          <w:szCs w:val="24"/>
        </w:rPr>
        <w:t>Autres Activités</w:t>
      </w:r>
      <w:r w:rsidR="00043CC2" w:rsidRPr="00EA2DD0">
        <w:rPr>
          <w:rFonts w:asciiTheme="minorHAnsi" w:hAnsiTheme="minorHAnsi" w:cstheme="minorHAnsi"/>
          <w:b/>
          <w:color w:val="003366"/>
          <w:sz w:val="24"/>
          <w:szCs w:val="24"/>
        </w:rPr>
        <w:tab/>
      </w:r>
    </w:p>
    <w:p w14:paraId="2C0D8DCD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Organisation de colloques et de conférences</w:t>
      </w:r>
    </w:p>
    <w:p w14:paraId="69E9B997" w14:textId="7B7C1CE8" w:rsidR="004D0A8A" w:rsidRDefault="004D0A8A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2023 : Organisation de la 3</w:t>
      </w:r>
      <w:r w:rsidRPr="004D0A8A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>
        <w:rPr>
          <w:rFonts w:asciiTheme="minorHAnsi" w:hAnsiTheme="minorHAnsi" w:cstheme="minorHAnsi"/>
          <w:sz w:val="24"/>
          <w:szCs w:val="24"/>
        </w:rPr>
        <w:t xml:space="preserve"> Journée Automnale de Management International (JAMI) (en collaboration avec Ludivine Chalençon), </w:t>
      </w:r>
      <w:proofErr w:type="spellStart"/>
      <w:r>
        <w:rPr>
          <w:rFonts w:asciiTheme="minorHAnsi" w:hAnsiTheme="minorHAnsi" w:cstheme="minorHAnsi"/>
          <w:sz w:val="24"/>
          <w:szCs w:val="24"/>
        </w:rPr>
        <w:t>iaelyon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School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of Management – 28 novembre.</w:t>
      </w:r>
    </w:p>
    <w:p w14:paraId="1F05BE47" w14:textId="3C4CD08E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2017 : Organisation d’un workshop « Comment publier des études de cas pédagogiques », 26ème Conférence de l’Association Internationale de Management Stratégique (AIMS), Université de Lyon, 7 – 9 juin (en collaboration avec Ulrike Mayrhofer)</w:t>
      </w:r>
    </w:p>
    <w:p w14:paraId="3A61643D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2016 : Membre du Comité d’Organisation de la 3ème Conférence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TEDxLyon</w:t>
      </w:r>
      <w:proofErr w:type="spellEnd"/>
    </w:p>
    <w:p w14:paraId="454F45B6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2015 : Membre du Comité d’Organisation de la 1ère Conférence Risques et PME, Université de Lyon, 1er avril.</w:t>
      </w:r>
    </w:p>
    <w:p w14:paraId="0D3230E2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2014 : Co-responsable d’un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Think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Tank sur l’internationalisation des PME de la région Auvergne-Rhône-Alpes organisé dans le cadre des cycles annuels de conférences de la Société d’Économie Politique de Lyon (SEPL) (en collaboration avec Hanane Beddi)</w:t>
      </w:r>
    </w:p>
    <w:p w14:paraId="598A18CE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2012 : Membre du Comité d’Organisation de la 2ème Conférence Annuelle d’Atlas/AFMI (Association Francophone de Management International),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iaelyon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of Management, Université Jean Moulin, 31 mai – 1er juin</w:t>
      </w:r>
    </w:p>
    <w:p w14:paraId="21E6745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lastRenderedPageBreak/>
        <w:t>Participation à des jurys</w:t>
      </w:r>
    </w:p>
    <w:p w14:paraId="210A482F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2019 : Coach et membre du jury lors du X-Culture Challenge, challenge universitaire international de management interculturel</w:t>
      </w:r>
    </w:p>
    <w:p w14:paraId="2280025A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2017 : Coach et membre du jury lors du X-Culture Challenge, challenge universitaire international de management interculturel</w:t>
      </w:r>
    </w:p>
    <w:p w14:paraId="23E6F0EB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2013 : Membre du jury “exportez-vous” récompensant les PME exportatrices les plus innovantes et/ou prometteurs, Salon Classe export, Lyon</w:t>
      </w:r>
    </w:p>
    <w:p w14:paraId="6DB52004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2012 : Membre du jury “exportez-vous” récompensant les PME exportatrices les plus innovantes et/ou prometteurs, Salon Classe export, Lyon</w:t>
      </w:r>
    </w:p>
    <w:p w14:paraId="589A1F94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Participation régulière aux jurys de soutenance des étudiants de master Management et Commerce International et de l’International MBA.</w:t>
      </w:r>
    </w:p>
    <w:p w14:paraId="2BBA60C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Autres</w:t>
      </w:r>
    </w:p>
    <w:p w14:paraId="281FC7B4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Organisation d’événements sportifs caritatifs “l’iaelyon court contre le cancer” :</w:t>
      </w:r>
    </w:p>
    <w:p w14:paraId="663CFF35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2018 : Préparation et participation de 10 étudiants de Master 1 et 10 membres de l’administration à la 65ème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Saintélyon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(ultratrail nocturne) – 1 décembre</w:t>
      </w:r>
    </w:p>
    <w:p w14:paraId="4D1784A5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2017 : Préparation et participation de 21 étudiants de Master 1 et huit membres de l’administration à la 64ème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Saintélyon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(ultratrail nocturne) – 2 décembre</w:t>
      </w:r>
    </w:p>
    <w:p w14:paraId="1A489977" w14:textId="77777777" w:rsidR="00043CC2" w:rsidRPr="00EA2DD0" w:rsidRDefault="00043CC2" w:rsidP="00043CC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3366"/>
          <w:sz w:val="24"/>
          <w:szCs w:val="24"/>
        </w:rPr>
      </w:pPr>
    </w:p>
    <w:p w14:paraId="6E3436CE" w14:textId="77777777" w:rsidR="00043CC2" w:rsidRPr="00EA2DD0" w:rsidRDefault="00043CC2" w:rsidP="00043CC2">
      <w:pPr>
        <w:spacing w:before="240" w:after="240" w:line="23" w:lineRule="atLeast"/>
        <w:jc w:val="both"/>
        <w:rPr>
          <w:rFonts w:asciiTheme="minorHAnsi" w:hAnsiTheme="minorHAnsi" w:cstheme="minorHAnsi"/>
          <w:b/>
          <w:caps/>
          <w:color w:val="003366"/>
          <w:sz w:val="24"/>
          <w:szCs w:val="24"/>
        </w:rPr>
      </w:pPr>
      <w:r w:rsidRPr="00EA2DD0">
        <w:rPr>
          <w:rFonts w:asciiTheme="minorHAnsi" w:hAnsiTheme="minorHAnsi" w:cstheme="minorHAnsi"/>
          <w:b/>
          <w:caps/>
          <w:color w:val="003366"/>
          <w:sz w:val="24"/>
          <w:szCs w:val="24"/>
        </w:rPr>
        <w:t>RESEAUX SOCIAUX</w:t>
      </w:r>
    </w:p>
    <w:p w14:paraId="64276F1A" w14:textId="77777777" w:rsidR="00043CC2" w:rsidRPr="00C00DD7" w:rsidRDefault="00043CC2" w:rsidP="00043CC2">
      <w:pPr>
        <w:pStyle w:val="Titre1"/>
        <w:spacing w:line="240" w:lineRule="atLeast"/>
        <w:jc w:val="both"/>
        <w:rPr>
          <w:rFonts w:asciiTheme="minorHAnsi" w:hAnsiTheme="minorHAnsi" w:cstheme="minorHAnsi"/>
          <w:bCs/>
          <w:szCs w:val="24"/>
          <w:lang w:val="en-US"/>
        </w:rPr>
      </w:pPr>
      <w:proofErr w:type="spellStart"/>
      <w:r w:rsidRPr="00C00DD7">
        <w:rPr>
          <w:rStyle w:val="normalchar1"/>
          <w:rFonts w:asciiTheme="minorHAnsi" w:hAnsiTheme="minorHAnsi" w:cstheme="minorHAnsi"/>
          <w:b/>
          <w:bCs/>
          <w:sz w:val="24"/>
          <w:szCs w:val="24"/>
          <w:lang w:val="en-US"/>
        </w:rPr>
        <w:t>Linkedin</w:t>
      </w:r>
      <w:proofErr w:type="spellEnd"/>
      <w:r w:rsidRPr="00C00DD7">
        <w:rPr>
          <w:rStyle w:val="normalchar1"/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: </w:t>
      </w:r>
      <w:hyperlink r:id="rId11" w:history="1">
        <w:r w:rsidRPr="00C00DD7">
          <w:rPr>
            <w:rStyle w:val="Lienhypertexte"/>
            <w:rFonts w:asciiTheme="minorHAnsi" w:hAnsiTheme="minorHAnsi" w:cstheme="minorHAnsi"/>
            <w:bCs/>
            <w:szCs w:val="24"/>
            <w:lang w:val="en-US"/>
          </w:rPr>
          <w:t>http://fr.linkedin.com/in/noemiedominguez</w:t>
        </w:r>
      </w:hyperlink>
    </w:p>
    <w:p w14:paraId="57DE126F" w14:textId="77777777" w:rsidR="00043CC2" w:rsidRPr="00C00DD7" w:rsidRDefault="00043CC2" w:rsidP="00043CC2">
      <w:pPr>
        <w:jc w:val="both"/>
        <w:rPr>
          <w:lang w:val="en-US"/>
        </w:rPr>
      </w:pPr>
    </w:p>
    <w:p w14:paraId="7D760BEE" w14:textId="77777777" w:rsidR="00745888" w:rsidRPr="00C00DD7" w:rsidRDefault="00745888" w:rsidP="00043CC2">
      <w:pPr>
        <w:spacing w:line="23" w:lineRule="atLeast"/>
        <w:jc w:val="both"/>
        <w:rPr>
          <w:b/>
          <w:szCs w:val="24"/>
          <w:lang w:val="en-US"/>
        </w:rPr>
      </w:pPr>
    </w:p>
    <w:sectPr w:rsidR="00745888" w:rsidRPr="00C00DD7">
      <w:headerReference w:type="even" r:id="rId12"/>
      <w:headerReference w:type="default" r:id="rId13"/>
      <w:footerReference w:type="default" r:id="rId14"/>
      <w:pgSz w:w="11907" w:h="16840" w:code="9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C08E" w14:textId="77777777" w:rsidR="00F00891" w:rsidRDefault="00F00891">
      <w:r>
        <w:separator/>
      </w:r>
    </w:p>
  </w:endnote>
  <w:endnote w:type="continuationSeparator" w:id="0">
    <w:p w14:paraId="5492B176" w14:textId="77777777" w:rsidR="00F00891" w:rsidRDefault="00F0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EB1A" w14:textId="77777777" w:rsidR="005E08C6" w:rsidRPr="00AA1391" w:rsidRDefault="00E31486" w:rsidP="008E287B">
    <w:pPr>
      <w:pStyle w:val="Pieddepage"/>
      <w:ind w:left="2835"/>
      <w:rPr>
        <w:rFonts w:ascii="Calibri" w:hAnsi="Calibri"/>
        <w:i/>
        <w:sz w:val="19"/>
        <w:szCs w:val="19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5CACC" wp14:editId="5DA1E8FF">
          <wp:simplePos x="0" y="0"/>
          <wp:positionH relativeFrom="column">
            <wp:posOffset>-9525</wp:posOffset>
          </wp:positionH>
          <wp:positionV relativeFrom="paragraph">
            <wp:posOffset>74295</wp:posOffset>
          </wp:positionV>
          <wp:extent cx="1630680" cy="387350"/>
          <wp:effectExtent l="0" t="0" r="762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87B" w:rsidRPr="007050E4">
      <w:rPr>
        <w:rFonts w:ascii="Calibri" w:hAnsi="Calibri"/>
        <w:b/>
        <w:color w:val="003366"/>
        <w:lang w:val="en-US"/>
      </w:rPr>
      <w:br/>
    </w:r>
    <w:r w:rsidR="0028589F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iaelyon </w:t>
    </w:r>
    <w:r w:rsidR="0028589F" w:rsidRPr="00AA1391">
      <w:rPr>
        <w:rFonts w:ascii="Calibri" w:hAnsi="Calibri"/>
        <w:i/>
        <w:color w:val="003366"/>
        <w:sz w:val="19"/>
        <w:szCs w:val="19"/>
        <w:lang w:val="en-US"/>
      </w:rPr>
      <w:t>School of Management</w:t>
    </w:r>
    <w:r w:rsidR="008E287B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-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Université Jean Moulin</w:t>
    </w:r>
    <w:r w:rsidR="002A1DFD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 xml:space="preserve">- 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CV </w:t>
    </w:r>
    <w:r w:rsidR="008665B2">
      <w:rPr>
        <w:rFonts w:ascii="Calibri" w:hAnsi="Calibri"/>
        <w:i/>
        <w:color w:val="003366"/>
        <w:sz w:val="19"/>
        <w:szCs w:val="19"/>
        <w:lang w:val="en-US"/>
      </w:rPr>
      <w:t>Noémie Dominguez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EF93" w14:textId="77777777" w:rsidR="00F00891" w:rsidRDefault="00F00891">
      <w:r>
        <w:separator/>
      </w:r>
    </w:p>
  </w:footnote>
  <w:footnote w:type="continuationSeparator" w:id="0">
    <w:p w14:paraId="77BBA052" w14:textId="77777777" w:rsidR="00F00891" w:rsidRDefault="00F0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0D0A" w14:textId="77777777" w:rsidR="005E08C6" w:rsidRDefault="005E08C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4E3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25C1279" w14:textId="77777777" w:rsidR="005E08C6" w:rsidRDefault="005E08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62E2" w14:textId="77777777" w:rsidR="005E08C6" w:rsidRPr="00E85385" w:rsidRDefault="005E08C6">
    <w:pPr>
      <w:pStyle w:val="En-tte"/>
      <w:framePr w:wrap="around" w:vAnchor="text" w:hAnchor="margin" w:xAlign="center" w:y="1"/>
      <w:rPr>
        <w:rStyle w:val="Numrodepage"/>
        <w:rFonts w:ascii="Tahoma" w:hAnsi="Tahoma"/>
        <w:b/>
        <w:color w:val="003366"/>
        <w:sz w:val="18"/>
      </w:rPr>
    </w:pPr>
    <w:r w:rsidRPr="00E85385">
      <w:rPr>
        <w:rStyle w:val="Numrodepage"/>
        <w:rFonts w:ascii="Tahoma" w:hAnsi="Tahoma"/>
        <w:b/>
        <w:color w:val="003366"/>
        <w:sz w:val="18"/>
      </w:rPr>
      <w:fldChar w:fldCharType="begin"/>
    </w:r>
    <w:r w:rsidR="00634E3F">
      <w:rPr>
        <w:rStyle w:val="Numrodepage"/>
        <w:rFonts w:ascii="Tahoma" w:hAnsi="Tahoma"/>
        <w:b/>
        <w:color w:val="003366"/>
        <w:sz w:val="18"/>
      </w:rPr>
      <w:instrText>PAGE</w:instrText>
    </w:r>
    <w:r w:rsidRPr="00E85385">
      <w:rPr>
        <w:rStyle w:val="Numrodepage"/>
        <w:rFonts w:ascii="Tahoma" w:hAnsi="Tahoma"/>
        <w:b/>
        <w:color w:val="003366"/>
        <w:sz w:val="18"/>
      </w:rPr>
      <w:instrText xml:space="preserve">  </w:instrText>
    </w:r>
    <w:r w:rsidRPr="00E85385">
      <w:rPr>
        <w:rStyle w:val="Numrodepage"/>
        <w:rFonts w:ascii="Tahoma" w:hAnsi="Tahoma"/>
        <w:b/>
        <w:color w:val="003366"/>
        <w:sz w:val="18"/>
      </w:rPr>
      <w:fldChar w:fldCharType="separate"/>
    </w:r>
    <w:r w:rsidR="006447AE">
      <w:rPr>
        <w:rStyle w:val="Numrodepage"/>
        <w:rFonts w:ascii="Tahoma" w:hAnsi="Tahoma"/>
        <w:b/>
        <w:noProof/>
        <w:color w:val="003366"/>
        <w:sz w:val="18"/>
      </w:rPr>
      <w:t>1</w:t>
    </w:r>
    <w:r w:rsidRPr="00E85385">
      <w:rPr>
        <w:rStyle w:val="Numrodepage"/>
        <w:rFonts w:ascii="Tahoma" w:hAnsi="Tahoma"/>
        <w:b/>
        <w:color w:val="003366"/>
        <w:sz w:val="18"/>
      </w:rPr>
      <w:fldChar w:fldCharType="end"/>
    </w:r>
  </w:p>
  <w:p w14:paraId="76231FF6" w14:textId="77777777" w:rsidR="005E08C6" w:rsidRPr="00B1771A" w:rsidRDefault="005E08C6">
    <w:pPr>
      <w:pStyle w:val="En-tt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0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C3FCA"/>
    <w:multiLevelType w:val="hybridMultilevel"/>
    <w:tmpl w:val="F29E5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2333"/>
    <w:multiLevelType w:val="hybridMultilevel"/>
    <w:tmpl w:val="41442988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237"/>
    <w:multiLevelType w:val="hybridMultilevel"/>
    <w:tmpl w:val="D60E5456"/>
    <w:lvl w:ilvl="0" w:tplc="474CB1F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D3D"/>
    <w:multiLevelType w:val="hybridMultilevel"/>
    <w:tmpl w:val="A85449D4"/>
    <w:lvl w:ilvl="0" w:tplc="8452C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012F"/>
    <w:multiLevelType w:val="hybridMultilevel"/>
    <w:tmpl w:val="461E5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11E"/>
    <w:multiLevelType w:val="hybridMultilevel"/>
    <w:tmpl w:val="DBAC023A"/>
    <w:lvl w:ilvl="0" w:tplc="DC9AAB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955A5"/>
    <w:multiLevelType w:val="hybridMultilevel"/>
    <w:tmpl w:val="0D2EDFCA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71159"/>
    <w:multiLevelType w:val="hybridMultilevel"/>
    <w:tmpl w:val="812E4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1DC0"/>
    <w:multiLevelType w:val="hybridMultilevel"/>
    <w:tmpl w:val="2FC4F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B32FE"/>
    <w:multiLevelType w:val="hybridMultilevel"/>
    <w:tmpl w:val="EC3ECF38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D5C24"/>
    <w:multiLevelType w:val="hybridMultilevel"/>
    <w:tmpl w:val="35741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5EC5"/>
    <w:multiLevelType w:val="hybridMultilevel"/>
    <w:tmpl w:val="F1362FF6"/>
    <w:lvl w:ilvl="0" w:tplc="DC9AAB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F23"/>
    <w:multiLevelType w:val="hybridMultilevel"/>
    <w:tmpl w:val="BAEEC116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B3A"/>
    <w:multiLevelType w:val="hybridMultilevel"/>
    <w:tmpl w:val="65F29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385555"/>
    <w:multiLevelType w:val="singleLevel"/>
    <w:tmpl w:val="DC9AA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9E6782"/>
    <w:multiLevelType w:val="hybridMultilevel"/>
    <w:tmpl w:val="5654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654A8"/>
    <w:multiLevelType w:val="hybridMultilevel"/>
    <w:tmpl w:val="E67C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748B"/>
    <w:multiLevelType w:val="hybridMultilevel"/>
    <w:tmpl w:val="B042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516195"/>
    <w:multiLevelType w:val="hybridMultilevel"/>
    <w:tmpl w:val="C762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07108"/>
    <w:multiLevelType w:val="hybridMultilevel"/>
    <w:tmpl w:val="1B56F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5275E0"/>
    <w:multiLevelType w:val="hybridMultilevel"/>
    <w:tmpl w:val="CC22D806"/>
    <w:lvl w:ilvl="0" w:tplc="C2CA5F8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277C0"/>
    <w:multiLevelType w:val="hybridMultilevel"/>
    <w:tmpl w:val="A4142C46"/>
    <w:lvl w:ilvl="0" w:tplc="F6582F3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5"/>
  </w:num>
  <w:num w:numId="5">
    <w:abstractNumId w:val="0"/>
  </w:num>
  <w:num w:numId="6">
    <w:abstractNumId w:val="19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21"/>
  </w:num>
  <w:num w:numId="13">
    <w:abstractNumId w:val="22"/>
  </w:num>
  <w:num w:numId="14">
    <w:abstractNumId w:val="16"/>
  </w:num>
  <w:num w:numId="15">
    <w:abstractNumId w:val="14"/>
  </w:num>
  <w:num w:numId="16">
    <w:abstractNumId w:val="11"/>
  </w:num>
  <w:num w:numId="17">
    <w:abstractNumId w:val="1"/>
  </w:num>
  <w:num w:numId="18">
    <w:abstractNumId w:val="20"/>
  </w:num>
  <w:num w:numId="19">
    <w:abstractNumId w:val="18"/>
  </w:num>
  <w:num w:numId="20">
    <w:abstractNumId w:val="5"/>
  </w:num>
  <w:num w:numId="21">
    <w:abstractNumId w:val="17"/>
  </w:num>
  <w:num w:numId="22">
    <w:abstractNumId w:val="8"/>
  </w:num>
  <w:num w:numId="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1B"/>
    <w:rsid w:val="0000224A"/>
    <w:rsid w:val="000041ED"/>
    <w:rsid w:val="00017A05"/>
    <w:rsid w:val="00043CC2"/>
    <w:rsid w:val="00076AC0"/>
    <w:rsid w:val="000B15E0"/>
    <w:rsid w:val="000E1C3B"/>
    <w:rsid w:val="000F14C8"/>
    <w:rsid w:val="000F2334"/>
    <w:rsid w:val="000F5973"/>
    <w:rsid w:val="0010276C"/>
    <w:rsid w:val="00130FC2"/>
    <w:rsid w:val="001A028B"/>
    <w:rsid w:val="001D6965"/>
    <w:rsid w:val="00215B07"/>
    <w:rsid w:val="0028589F"/>
    <w:rsid w:val="002A1DFD"/>
    <w:rsid w:val="002B51AD"/>
    <w:rsid w:val="002C3AD0"/>
    <w:rsid w:val="002C4B60"/>
    <w:rsid w:val="002D551D"/>
    <w:rsid w:val="00322895"/>
    <w:rsid w:val="00377B1A"/>
    <w:rsid w:val="00382F9C"/>
    <w:rsid w:val="003944E9"/>
    <w:rsid w:val="003D56F4"/>
    <w:rsid w:val="003E702B"/>
    <w:rsid w:val="004166F1"/>
    <w:rsid w:val="004450B9"/>
    <w:rsid w:val="004521ED"/>
    <w:rsid w:val="004558C1"/>
    <w:rsid w:val="00457826"/>
    <w:rsid w:val="00463C54"/>
    <w:rsid w:val="004D0A8A"/>
    <w:rsid w:val="004E481B"/>
    <w:rsid w:val="004E4EFA"/>
    <w:rsid w:val="004F4D1C"/>
    <w:rsid w:val="00527E7E"/>
    <w:rsid w:val="00542D67"/>
    <w:rsid w:val="00587EBF"/>
    <w:rsid w:val="0059361C"/>
    <w:rsid w:val="005A0524"/>
    <w:rsid w:val="005A7687"/>
    <w:rsid w:val="005C6035"/>
    <w:rsid w:val="005E08C6"/>
    <w:rsid w:val="00621ED6"/>
    <w:rsid w:val="00634E3F"/>
    <w:rsid w:val="0064043B"/>
    <w:rsid w:val="006447AE"/>
    <w:rsid w:val="0065098A"/>
    <w:rsid w:val="0068714E"/>
    <w:rsid w:val="006C1759"/>
    <w:rsid w:val="006D0A1B"/>
    <w:rsid w:val="006E4A42"/>
    <w:rsid w:val="006E6A26"/>
    <w:rsid w:val="007050E4"/>
    <w:rsid w:val="00740205"/>
    <w:rsid w:val="00745888"/>
    <w:rsid w:val="00757368"/>
    <w:rsid w:val="00765832"/>
    <w:rsid w:val="00772045"/>
    <w:rsid w:val="007723C3"/>
    <w:rsid w:val="007A25D6"/>
    <w:rsid w:val="007F21DB"/>
    <w:rsid w:val="00844658"/>
    <w:rsid w:val="0085187A"/>
    <w:rsid w:val="008665B2"/>
    <w:rsid w:val="0088244B"/>
    <w:rsid w:val="00897EF7"/>
    <w:rsid w:val="008A3C95"/>
    <w:rsid w:val="008C33F6"/>
    <w:rsid w:val="008D50E8"/>
    <w:rsid w:val="008E287B"/>
    <w:rsid w:val="00903572"/>
    <w:rsid w:val="0091535D"/>
    <w:rsid w:val="0093330B"/>
    <w:rsid w:val="00942373"/>
    <w:rsid w:val="0095601E"/>
    <w:rsid w:val="00957D09"/>
    <w:rsid w:val="00960A60"/>
    <w:rsid w:val="009622ED"/>
    <w:rsid w:val="00970EA1"/>
    <w:rsid w:val="009718A1"/>
    <w:rsid w:val="009969E2"/>
    <w:rsid w:val="00A10F74"/>
    <w:rsid w:val="00A24820"/>
    <w:rsid w:val="00A4740F"/>
    <w:rsid w:val="00A67573"/>
    <w:rsid w:val="00AA1391"/>
    <w:rsid w:val="00AD30F1"/>
    <w:rsid w:val="00AD4EAE"/>
    <w:rsid w:val="00AD6159"/>
    <w:rsid w:val="00AE4491"/>
    <w:rsid w:val="00AF7E61"/>
    <w:rsid w:val="00B13BA7"/>
    <w:rsid w:val="00B1771A"/>
    <w:rsid w:val="00B4034B"/>
    <w:rsid w:val="00B5559C"/>
    <w:rsid w:val="00B91547"/>
    <w:rsid w:val="00BC50EF"/>
    <w:rsid w:val="00BE61A7"/>
    <w:rsid w:val="00C00300"/>
    <w:rsid w:val="00C00DD7"/>
    <w:rsid w:val="00C648B6"/>
    <w:rsid w:val="00C77463"/>
    <w:rsid w:val="00CC027A"/>
    <w:rsid w:val="00CC3ECD"/>
    <w:rsid w:val="00CE6EB0"/>
    <w:rsid w:val="00CF63F4"/>
    <w:rsid w:val="00D2097F"/>
    <w:rsid w:val="00D46907"/>
    <w:rsid w:val="00D513DD"/>
    <w:rsid w:val="00D546EE"/>
    <w:rsid w:val="00D61CBD"/>
    <w:rsid w:val="00D71A1F"/>
    <w:rsid w:val="00DC0D46"/>
    <w:rsid w:val="00DD25AB"/>
    <w:rsid w:val="00DD2F98"/>
    <w:rsid w:val="00DE23CA"/>
    <w:rsid w:val="00DE518A"/>
    <w:rsid w:val="00DF4B13"/>
    <w:rsid w:val="00E31486"/>
    <w:rsid w:val="00E60323"/>
    <w:rsid w:val="00E7419E"/>
    <w:rsid w:val="00E76D96"/>
    <w:rsid w:val="00E85385"/>
    <w:rsid w:val="00E92801"/>
    <w:rsid w:val="00F00891"/>
    <w:rsid w:val="00F1685E"/>
    <w:rsid w:val="00F17B0F"/>
    <w:rsid w:val="00F636C0"/>
    <w:rsid w:val="00F74F42"/>
    <w:rsid w:val="00FB5E51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FBAC48"/>
  <w15:docId w15:val="{EDBD481D-53E7-4859-8D11-C739CCA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82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Notedebasdepage1">
    <w:name w:val="Note de bas de page1"/>
    <w:pPr>
      <w:keepLines/>
      <w:spacing w:line="264" w:lineRule="exact"/>
      <w:ind w:left="312" w:hanging="312"/>
      <w:jc w:val="both"/>
    </w:pPr>
    <w:rPr>
      <w:rFonts w:ascii="Times" w:hAnsi="Times"/>
      <w:sz w:val="16"/>
    </w:rPr>
  </w:style>
  <w:style w:type="paragraph" w:customStyle="1" w:styleId="C1">
    <w:name w:val="C1"/>
    <w:basedOn w:val="Normal"/>
    <w:pPr>
      <w:tabs>
        <w:tab w:val="left" w:pos="440"/>
      </w:tabs>
      <w:ind w:left="640" w:hanging="480"/>
    </w:pPr>
    <w:rPr>
      <w:rFonts w:ascii="Palatino" w:hAnsi="Palatino"/>
      <w:sz w:val="24"/>
    </w:rPr>
  </w:style>
  <w:style w:type="paragraph" w:customStyle="1" w:styleId="B1">
    <w:name w:val="B1"/>
    <w:basedOn w:val="Normal"/>
    <w:pPr>
      <w:tabs>
        <w:tab w:val="left" w:pos="580"/>
      </w:tabs>
      <w:ind w:left="840" w:hanging="700"/>
    </w:pPr>
    <w:rPr>
      <w:rFonts w:ascii="Palatino" w:hAnsi="Palatino"/>
      <w:sz w:val="24"/>
    </w:rPr>
  </w:style>
  <w:style w:type="paragraph" w:styleId="Retraitcorpsdetexte">
    <w:name w:val="Body Text Indent"/>
    <w:basedOn w:val="Normal"/>
    <w:rsid w:val="00BC50EF"/>
    <w:pPr>
      <w:tabs>
        <w:tab w:val="right" w:pos="2410"/>
        <w:tab w:val="left" w:pos="2694"/>
      </w:tabs>
      <w:spacing w:after="40"/>
      <w:ind w:left="2694"/>
    </w:pPr>
    <w:rPr>
      <w:color w:val="800000"/>
    </w:rPr>
  </w:style>
  <w:style w:type="paragraph" w:customStyle="1" w:styleId="Normal1">
    <w:name w:val="Normal1"/>
    <w:basedOn w:val="Normal"/>
    <w:rsid w:val="00757368"/>
    <w:pPr>
      <w:spacing w:after="200" w:line="260" w:lineRule="atLeast"/>
      <w:jc w:val="both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757368"/>
    <w:rPr>
      <w:rFonts w:ascii="Calibri" w:hAnsi="Calibri" w:hint="default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57368"/>
    <w:pPr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903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3572"/>
    <w:rPr>
      <w:rFonts w:ascii="Tahoma" w:hAnsi="Tahoma" w:cs="Tahoma"/>
      <w:sz w:val="16"/>
      <w:szCs w:val="16"/>
    </w:rPr>
  </w:style>
  <w:style w:type="character" w:styleId="Lienhypertexte">
    <w:name w:val="Hyperlink"/>
    <w:rsid w:val="00D513DD"/>
    <w:rPr>
      <w:color w:val="0000FF"/>
      <w:u w:val="single"/>
    </w:rPr>
  </w:style>
  <w:style w:type="character" w:styleId="Marquedecommentaire">
    <w:name w:val="annotation reference"/>
    <w:rsid w:val="00D71A1F"/>
    <w:rPr>
      <w:sz w:val="16"/>
      <w:szCs w:val="16"/>
    </w:rPr>
  </w:style>
  <w:style w:type="paragraph" w:styleId="Commentaire">
    <w:name w:val="annotation text"/>
    <w:basedOn w:val="Normal"/>
    <w:link w:val="CommentaireCar"/>
    <w:rsid w:val="00D71A1F"/>
  </w:style>
  <w:style w:type="character" w:customStyle="1" w:styleId="CommentaireCar">
    <w:name w:val="Commentaire Car"/>
    <w:basedOn w:val="Policepardfaut"/>
    <w:link w:val="Commentaire"/>
    <w:rsid w:val="00D71A1F"/>
  </w:style>
  <w:style w:type="paragraph" w:styleId="Objetducommentaire">
    <w:name w:val="annotation subject"/>
    <w:basedOn w:val="Commentaire"/>
    <w:next w:val="Commentaire"/>
    <w:link w:val="ObjetducommentaireCar"/>
    <w:rsid w:val="00D71A1F"/>
    <w:rPr>
      <w:b/>
      <w:bCs/>
    </w:rPr>
  </w:style>
  <w:style w:type="character" w:customStyle="1" w:styleId="ObjetducommentaireCar">
    <w:name w:val="Objet du commentaire Car"/>
    <w:link w:val="Objetducommentaire"/>
    <w:rsid w:val="00D71A1F"/>
    <w:rPr>
      <w:b/>
      <w:bCs/>
    </w:rPr>
  </w:style>
  <w:style w:type="table" w:styleId="Grilledutableau">
    <w:name w:val="Table Grid"/>
    <w:basedOn w:val="TableauNormal"/>
    <w:uiPriority w:val="39"/>
    <w:rsid w:val="00043CC2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F597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semiHidden/>
    <w:rsid w:val="00382F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.linkedin.com/in/noemiedomingue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rging-housing-projec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conversation.com/en-quoi-les-reseaux-des-expatries-francais-different-ils-de-ceux-de-leurs-homologues-allemands-2242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D1DC-F991-4EEE-AE65-633448FF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4997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enseignants IAE</vt:lpstr>
    </vt:vector>
  </TitlesOfParts>
  <Company>LYON3</Company>
  <LinksUpToDate>false</LinksUpToDate>
  <CharactersWithSpaces>32419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enseignants IAE</dc:title>
  <dc:creator>Mme PARMENTIER</dc:creator>
  <cp:lastModifiedBy>DOMINGUEZ Noemie</cp:lastModifiedBy>
  <cp:revision>2</cp:revision>
  <cp:lastPrinted>2016-06-27T16:53:00Z</cp:lastPrinted>
  <dcterms:created xsi:type="dcterms:W3CDTF">2025-01-22T11:10:00Z</dcterms:created>
  <dcterms:modified xsi:type="dcterms:W3CDTF">2025-01-22T11:10:00Z</dcterms:modified>
</cp:coreProperties>
</file>